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5E45" w14:textId="031C1EF9" w:rsidR="00B910D3" w:rsidRPr="00B910D3" w:rsidRDefault="00B910D3" w:rsidP="00B910D3">
      <w:pPr>
        <w:pBdr>
          <w:top w:val="single" w:sz="4" w:space="1" w:color="auto"/>
          <w:left w:val="single" w:sz="4" w:space="1" w:color="auto"/>
          <w:bottom w:val="single" w:sz="4" w:space="1" w:color="auto"/>
          <w:right w:val="single" w:sz="4" w:space="1" w:color="auto"/>
        </w:pBdr>
        <w:shd w:val="clear" w:color="auto" w:fill="D9E2F3" w:themeFill="accent1" w:themeFillTint="33"/>
        <w:jc w:val="center"/>
        <w:rPr>
          <w:rFonts w:ascii="Marianne" w:hAnsi="Marianne" w:hint="eastAsia"/>
          <w:color w:val="000000"/>
        </w:rPr>
      </w:pPr>
      <w:r w:rsidRPr="00B910D3">
        <w:rPr>
          <w:rFonts w:ascii="Marianne" w:hAnsi="Marianne"/>
          <w:color w:val="000000"/>
        </w:rPr>
        <w:t xml:space="preserve">REFERENCE </w:t>
      </w:r>
      <w:r w:rsidR="0098455D">
        <w:rPr>
          <w:rFonts w:ascii="Marianne" w:hAnsi="Marianne"/>
          <w:color w:val="000000"/>
        </w:rPr>
        <w:t>OCCDP-010</w:t>
      </w:r>
      <w:r w:rsidR="00E15B99">
        <w:rPr>
          <w:rFonts w:ascii="Marianne" w:hAnsi="Marianne"/>
          <w:color w:val="000000"/>
        </w:rPr>
        <w:t>1</w:t>
      </w:r>
      <w:r w:rsidR="005F0FDC">
        <w:rPr>
          <w:rFonts w:ascii="Marianne" w:hAnsi="Marianne"/>
          <w:color w:val="000000"/>
        </w:rPr>
        <w:t>3</w:t>
      </w:r>
      <w:r w:rsidR="00CB7B39">
        <w:rPr>
          <w:rFonts w:ascii="Marianne" w:hAnsi="Marianne"/>
          <w:color w:val="000000"/>
        </w:rPr>
        <w:t>-</w:t>
      </w:r>
      <w:r w:rsidR="005F0FDC">
        <w:rPr>
          <w:rFonts w:ascii="Marianne" w:hAnsi="Marianne"/>
          <w:color w:val="000000"/>
        </w:rPr>
        <w:t>MTEZI</w:t>
      </w:r>
      <w:r w:rsidR="00CB7B39">
        <w:rPr>
          <w:rFonts w:ascii="Marianne" w:hAnsi="Marianne"/>
          <w:color w:val="000000"/>
        </w:rPr>
        <w:t>H</w:t>
      </w:r>
    </w:p>
    <w:p w14:paraId="7CE030B0" w14:textId="77777777" w:rsidR="00B910D3" w:rsidRPr="00B910D3" w:rsidRDefault="00B910D3" w:rsidP="00B910D3">
      <w:pPr>
        <w:pBdr>
          <w:top w:val="single" w:sz="4" w:space="1" w:color="auto"/>
          <w:left w:val="single" w:sz="4" w:space="1" w:color="auto"/>
          <w:bottom w:val="single" w:sz="4" w:space="1" w:color="auto"/>
          <w:right w:val="single" w:sz="4" w:space="1" w:color="auto"/>
        </w:pBdr>
        <w:shd w:val="clear" w:color="auto" w:fill="D9E2F3" w:themeFill="accent1" w:themeFillTint="33"/>
        <w:jc w:val="center"/>
        <w:rPr>
          <w:rFonts w:ascii="Marianne" w:hAnsi="Marianne" w:hint="eastAsia"/>
          <w:color w:val="000000"/>
        </w:rPr>
      </w:pPr>
      <w:r w:rsidRPr="00B910D3">
        <w:rPr>
          <w:rFonts w:ascii="Marianne" w:hAnsi="Marianne"/>
          <w:color w:val="000000"/>
        </w:rPr>
        <w:t xml:space="preserve">MANIFESTATION D’INTERET SPONTANE </w:t>
      </w:r>
    </w:p>
    <w:p w14:paraId="3FB8D5E9" w14:textId="77777777" w:rsidR="00B910D3" w:rsidRPr="00B910D3" w:rsidRDefault="00B910D3" w:rsidP="00434DF2">
      <w:pPr>
        <w:spacing w:after="60"/>
        <w:jc w:val="center"/>
        <w:rPr>
          <w:rFonts w:ascii="Marianne" w:hAnsi="Marianne" w:hint="eastAsia"/>
          <w:color w:val="000000"/>
        </w:rPr>
      </w:pPr>
      <w:r w:rsidRPr="00B910D3">
        <w:rPr>
          <w:rFonts w:ascii="Marianne" w:hAnsi="Marianne"/>
          <w:color w:val="000000"/>
        </w:rPr>
        <w:t xml:space="preserve">EDF HYDRO CENTRE </w:t>
      </w:r>
    </w:p>
    <w:p w14:paraId="30F31CCB" w14:textId="06C0DC6B" w:rsidR="00B910D3" w:rsidRPr="00B910D3" w:rsidRDefault="00B910D3" w:rsidP="00B910D3">
      <w:pPr>
        <w:spacing w:after="60"/>
        <w:jc w:val="center"/>
        <w:rPr>
          <w:rFonts w:ascii="Marianne" w:hAnsi="Marianne" w:hint="eastAsia"/>
          <w:color w:val="000000"/>
        </w:rPr>
      </w:pPr>
      <w:r w:rsidRPr="00B910D3">
        <w:rPr>
          <w:rFonts w:ascii="Marianne" w:hAnsi="Marianne"/>
          <w:color w:val="000000"/>
        </w:rPr>
        <w:t xml:space="preserve">AMENAGEMENT HYDROELECTRIQUE DE </w:t>
      </w:r>
      <w:r w:rsidR="0098455D">
        <w:rPr>
          <w:rFonts w:ascii="Marianne" w:hAnsi="Marianne"/>
          <w:color w:val="000000"/>
        </w:rPr>
        <w:t>COUESQUE - MONTEZIC</w:t>
      </w:r>
    </w:p>
    <w:p w14:paraId="79A466B8" w14:textId="77777777" w:rsidR="00B910D3" w:rsidRPr="00B910D3" w:rsidRDefault="00B910D3" w:rsidP="00434DF2">
      <w:pPr>
        <w:spacing w:before="60" w:after="60"/>
        <w:jc w:val="center"/>
        <w:rPr>
          <w:rFonts w:ascii="Marianne" w:hAnsi="Marianne" w:hint="eastAsia"/>
          <w:color w:val="000000"/>
        </w:rPr>
      </w:pPr>
      <w:r w:rsidRPr="00B910D3">
        <w:rPr>
          <w:rFonts w:ascii="Marianne" w:hAnsi="Marianne"/>
          <w:color w:val="000000"/>
        </w:rPr>
        <w:t>---------------------------------------------------------------</w:t>
      </w:r>
    </w:p>
    <w:p w14:paraId="33058BEB" w14:textId="77777777" w:rsidR="00B910D3" w:rsidRPr="00B910D3" w:rsidRDefault="00B910D3" w:rsidP="00434DF2">
      <w:pPr>
        <w:jc w:val="center"/>
        <w:rPr>
          <w:rFonts w:ascii="Marianne" w:hAnsi="Marianne" w:hint="eastAsia"/>
          <w:color w:val="000000"/>
        </w:rPr>
      </w:pPr>
      <w:r w:rsidRPr="00B910D3">
        <w:rPr>
          <w:rFonts w:ascii="Marianne" w:hAnsi="Marianne"/>
          <w:color w:val="000000"/>
        </w:rPr>
        <w:t xml:space="preserve">Publication Préalable à une occupation temporaire du domaine public concédé </w:t>
      </w:r>
    </w:p>
    <w:p w14:paraId="76D57F93" w14:textId="684AC916" w:rsidR="00B910D3" w:rsidRPr="00B910D3" w:rsidRDefault="008B62C4" w:rsidP="00434DF2">
      <w:pPr>
        <w:jc w:val="center"/>
        <w:rPr>
          <w:rFonts w:ascii="Marianne" w:hAnsi="Marianne" w:hint="eastAsia"/>
          <w:color w:val="000000"/>
        </w:rPr>
      </w:pPr>
      <w:proofErr w:type="gramStart"/>
      <w:r>
        <w:rPr>
          <w:rFonts w:ascii="Marianne" w:hAnsi="Marianne"/>
          <w:color w:val="000000"/>
        </w:rPr>
        <w:t>sans</w:t>
      </w:r>
      <w:proofErr w:type="gramEnd"/>
      <w:r w:rsidR="00E052C4">
        <w:rPr>
          <w:rFonts w:ascii="Marianne" w:hAnsi="Marianne"/>
          <w:color w:val="000000"/>
        </w:rPr>
        <w:t xml:space="preserve"> exploitation</w:t>
      </w:r>
      <w:r w:rsidR="00B910D3" w:rsidRPr="00B910D3">
        <w:rPr>
          <w:rFonts w:ascii="Marianne" w:hAnsi="Marianne"/>
          <w:color w:val="000000"/>
        </w:rPr>
        <w:t xml:space="preserve"> économique</w:t>
      </w:r>
    </w:p>
    <w:p w14:paraId="778C15FF" w14:textId="77777777" w:rsidR="00B910D3" w:rsidRPr="00B910D3" w:rsidRDefault="00B910D3" w:rsidP="00434DF2">
      <w:pPr>
        <w:spacing w:before="60"/>
        <w:jc w:val="center"/>
        <w:rPr>
          <w:rFonts w:ascii="Marianne" w:hAnsi="Marianne" w:hint="eastAsia"/>
          <w:color w:val="000000"/>
        </w:rPr>
      </w:pPr>
      <w:r w:rsidRPr="00B910D3">
        <w:rPr>
          <w:rFonts w:ascii="Marianne" w:hAnsi="Marianne"/>
          <w:color w:val="000000"/>
        </w:rPr>
        <w:t>---------------------------------------------------------------</w:t>
      </w:r>
    </w:p>
    <w:p w14:paraId="55AAB6FD" w14:textId="77777777" w:rsidR="00B910D3" w:rsidRPr="00B910D3" w:rsidRDefault="00B910D3" w:rsidP="00434DF2">
      <w:pPr>
        <w:pStyle w:val="Standard"/>
        <w:jc w:val="center"/>
        <w:rPr>
          <w:rFonts w:ascii="Marianne" w:hAnsi="Marianne" w:hint="eastAsia"/>
          <w:color w:val="000000"/>
          <w:sz w:val="20"/>
          <w:szCs w:val="20"/>
        </w:rPr>
      </w:pPr>
    </w:p>
    <w:p w14:paraId="57EBD0FE" w14:textId="3B696FD9" w:rsidR="00BB2072" w:rsidRDefault="00220F0F">
      <w:pPr>
        <w:pStyle w:val="Standard"/>
        <w:numPr>
          <w:ilvl w:val="0"/>
          <w:numId w:val="1"/>
        </w:numPr>
        <w:rPr>
          <w:rFonts w:ascii="Marianne" w:hAnsi="Marianne" w:hint="eastAsia"/>
          <w:b/>
          <w:bCs/>
          <w:color w:val="000000"/>
          <w:sz w:val="20"/>
          <w:szCs w:val="20"/>
          <w:u w:val="single"/>
        </w:rPr>
      </w:pPr>
      <w:r>
        <w:rPr>
          <w:rFonts w:ascii="Marianne" w:hAnsi="Marianne"/>
          <w:b/>
          <w:bCs/>
          <w:color w:val="000000"/>
          <w:sz w:val="20"/>
          <w:szCs w:val="20"/>
          <w:u w:val="single"/>
        </w:rPr>
        <w:t>Concession concernée :</w:t>
      </w:r>
      <w:r w:rsidR="00FA686C">
        <w:rPr>
          <w:rFonts w:ascii="Marianne" w:hAnsi="Marianne"/>
          <w:color w:val="000000"/>
          <w:sz w:val="20"/>
          <w:szCs w:val="20"/>
        </w:rPr>
        <w:t xml:space="preserve">  </w:t>
      </w:r>
      <w:proofErr w:type="spellStart"/>
      <w:r w:rsidR="0098455D">
        <w:rPr>
          <w:rFonts w:ascii="Marianne" w:hAnsi="Marianne"/>
          <w:color w:val="000000"/>
          <w:sz w:val="20"/>
          <w:szCs w:val="20"/>
        </w:rPr>
        <w:t>Couesque</w:t>
      </w:r>
      <w:proofErr w:type="spellEnd"/>
      <w:r w:rsidR="0098455D">
        <w:rPr>
          <w:rFonts w:ascii="Marianne" w:hAnsi="Marianne"/>
          <w:color w:val="000000"/>
          <w:sz w:val="20"/>
          <w:szCs w:val="20"/>
        </w:rPr>
        <w:t xml:space="preserve"> – Montézic</w:t>
      </w:r>
    </w:p>
    <w:p w14:paraId="57EBD0FF" w14:textId="77777777" w:rsidR="00BB2072" w:rsidRPr="00434DF2" w:rsidRDefault="00BB2072">
      <w:pPr>
        <w:pStyle w:val="Standard"/>
        <w:rPr>
          <w:rFonts w:ascii="Marianne" w:hAnsi="Marianne" w:hint="eastAsia"/>
          <w:color w:val="000000"/>
          <w:sz w:val="20"/>
          <w:szCs w:val="20"/>
        </w:rPr>
      </w:pPr>
    </w:p>
    <w:p w14:paraId="57EBD101" w14:textId="77777777" w:rsidR="00BB2072" w:rsidRPr="00434DF2" w:rsidRDefault="00BB2072">
      <w:pPr>
        <w:pStyle w:val="Standard"/>
        <w:rPr>
          <w:rFonts w:ascii="Marianne" w:hAnsi="Marianne" w:hint="eastAsia"/>
          <w:color w:val="000000"/>
          <w:sz w:val="20"/>
          <w:szCs w:val="20"/>
        </w:rPr>
      </w:pPr>
    </w:p>
    <w:p w14:paraId="57EBD102" w14:textId="565C4E29" w:rsidR="008B62C4" w:rsidRPr="0098455D" w:rsidRDefault="00220F0F" w:rsidP="008B62C4">
      <w:pPr>
        <w:pStyle w:val="Standard"/>
        <w:numPr>
          <w:ilvl w:val="0"/>
          <w:numId w:val="1"/>
        </w:numPr>
        <w:jc w:val="both"/>
        <w:rPr>
          <w:rFonts w:ascii="Marianne" w:hAnsi="Marianne" w:hint="eastAsia"/>
          <w:color w:val="000000"/>
          <w:sz w:val="20"/>
          <w:szCs w:val="20"/>
        </w:rPr>
      </w:pPr>
      <w:r>
        <w:rPr>
          <w:rFonts w:ascii="Marianne" w:hAnsi="Marianne"/>
          <w:b/>
          <w:bCs/>
          <w:color w:val="000000"/>
          <w:sz w:val="20"/>
          <w:szCs w:val="20"/>
          <w:u w:val="single"/>
        </w:rPr>
        <w:t>Tiers demandeur :</w:t>
      </w:r>
      <w:r w:rsidR="00FA686C" w:rsidRPr="00E052C4">
        <w:rPr>
          <w:rFonts w:ascii="Marianne" w:hAnsi="Marianne"/>
          <w:b/>
          <w:bCs/>
          <w:color w:val="000000"/>
          <w:sz w:val="20"/>
          <w:szCs w:val="20"/>
        </w:rPr>
        <w:t xml:space="preserve"> </w:t>
      </w:r>
      <w:r w:rsidR="00E052C4" w:rsidRPr="00E052C4">
        <w:rPr>
          <w:rFonts w:ascii="Marianne" w:hAnsi="Marianne"/>
          <w:b/>
          <w:bCs/>
          <w:color w:val="000000"/>
          <w:sz w:val="20"/>
          <w:szCs w:val="20"/>
        </w:rPr>
        <w:t xml:space="preserve"> </w:t>
      </w:r>
      <w:r w:rsidR="005F0FDC">
        <w:rPr>
          <w:rFonts w:ascii="Marianne" w:hAnsi="Marianne"/>
          <w:color w:val="000000"/>
          <w:sz w:val="20"/>
          <w:szCs w:val="20"/>
        </w:rPr>
        <w:t xml:space="preserve">Commune de St Symphorien de </w:t>
      </w:r>
      <w:proofErr w:type="spellStart"/>
      <w:r w:rsidR="005F0FDC">
        <w:rPr>
          <w:rFonts w:ascii="Marianne" w:hAnsi="Marianne"/>
          <w:color w:val="000000"/>
          <w:sz w:val="20"/>
          <w:szCs w:val="20"/>
        </w:rPr>
        <w:t>Thénières</w:t>
      </w:r>
      <w:proofErr w:type="spellEnd"/>
      <w:r w:rsidR="005F0FDC">
        <w:rPr>
          <w:rFonts w:ascii="Marianne" w:hAnsi="Marianne"/>
          <w:color w:val="000000"/>
          <w:sz w:val="20"/>
          <w:szCs w:val="20"/>
        </w:rPr>
        <w:t xml:space="preserve"> et Communauté de Communes Aubrac </w:t>
      </w:r>
      <w:proofErr w:type="spellStart"/>
      <w:r w:rsidR="005F0FDC">
        <w:rPr>
          <w:rFonts w:ascii="Marianne" w:hAnsi="Marianne"/>
          <w:color w:val="000000"/>
          <w:sz w:val="20"/>
          <w:szCs w:val="20"/>
        </w:rPr>
        <w:t>Carladez</w:t>
      </w:r>
      <w:proofErr w:type="spellEnd"/>
      <w:r w:rsidR="005F0FDC">
        <w:rPr>
          <w:rFonts w:ascii="Marianne" w:hAnsi="Marianne"/>
          <w:color w:val="000000"/>
          <w:sz w:val="20"/>
          <w:szCs w:val="20"/>
        </w:rPr>
        <w:t xml:space="preserve"> </w:t>
      </w:r>
      <w:proofErr w:type="spellStart"/>
      <w:r w:rsidR="005F0FDC">
        <w:rPr>
          <w:rFonts w:ascii="Marianne" w:hAnsi="Marianne"/>
          <w:color w:val="000000"/>
          <w:sz w:val="20"/>
          <w:szCs w:val="20"/>
        </w:rPr>
        <w:t>Viadène</w:t>
      </w:r>
      <w:proofErr w:type="spellEnd"/>
    </w:p>
    <w:p w14:paraId="57EBD103" w14:textId="77777777" w:rsidR="00BB2072" w:rsidRPr="00434DF2" w:rsidRDefault="00BB2072" w:rsidP="00434DF2">
      <w:pPr>
        <w:pStyle w:val="Standard"/>
        <w:rPr>
          <w:rFonts w:ascii="Marianne" w:hAnsi="Marianne" w:hint="eastAsia"/>
          <w:color w:val="000000"/>
          <w:sz w:val="20"/>
          <w:szCs w:val="20"/>
        </w:rPr>
      </w:pPr>
    </w:p>
    <w:p w14:paraId="57EBD105" w14:textId="77777777" w:rsidR="00BB2072" w:rsidRPr="00434DF2" w:rsidRDefault="00BB2072" w:rsidP="00434DF2">
      <w:pPr>
        <w:pStyle w:val="Standard"/>
        <w:rPr>
          <w:rFonts w:ascii="Marianne" w:hAnsi="Marianne" w:hint="eastAsia"/>
          <w:color w:val="000000"/>
          <w:sz w:val="20"/>
          <w:szCs w:val="20"/>
        </w:rPr>
      </w:pPr>
    </w:p>
    <w:p w14:paraId="57EBD106" w14:textId="5A9450CF" w:rsidR="00BB2072" w:rsidRDefault="00220F0F">
      <w:pPr>
        <w:pStyle w:val="Standard"/>
        <w:numPr>
          <w:ilvl w:val="0"/>
          <w:numId w:val="1"/>
        </w:numPr>
        <w:jc w:val="both"/>
        <w:rPr>
          <w:rFonts w:ascii="Marianne" w:hAnsi="Marianne" w:hint="eastAsia"/>
          <w:b/>
          <w:bCs/>
          <w:color w:val="000000"/>
          <w:sz w:val="20"/>
          <w:szCs w:val="20"/>
          <w:u w:val="single"/>
        </w:rPr>
      </w:pPr>
      <w:r>
        <w:rPr>
          <w:rFonts w:ascii="Marianne" w:hAnsi="Marianne"/>
          <w:b/>
          <w:bCs/>
          <w:color w:val="000000"/>
          <w:sz w:val="20"/>
          <w:szCs w:val="20"/>
          <w:u w:val="single"/>
        </w:rPr>
        <w:t>Type d'occupation projetée :</w:t>
      </w:r>
      <w:r w:rsidR="00FA686C">
        <w:rPr>
          <w:rFonts w:ascii="Marianne" w:hAnsi="Marianne"/>
          <w:b/>
          <w:bCs/>
          <w:color w:val="000000"/>
          <w:sz w:val="20"/>
          <w:szCs w:val="20"/>
          <w:u w:val="single"/>
        </w:rPr>
        <w:t xml:space="preserve">  </w:t>
      </w:r>
    </w:p>
    <w:p w14:paraId="466FFE76" w14:textId="5687AF1C" w:rsidR="00645B50" w:rsidRDefault="00645B50" w:rsidP="00617963">
      <w:pPr>
        <w:pStyle w:val="Standard"/>
        <w:spacing w:after="120"/>
        <w:ind w:left="992"/>
        <w:jc w:val="both"/>
        <w:rPr>
          <w:rFonts w:ascii="Marianne" w:hAnsi="Marianne"/>
          <w:color w:val="000000"/>
          <w:sz w:val="20"/>
          <w:szCs w:val="20"/>
        </w:rPr>
      </w:pPr>
      <w:r>
        <w:rPr>
          <w:rFonts w:ascii="Marianne" w:hAnsi="Marianne"/>
          <w:color w:val="000000"/>
          <w:sz w:val="20"/>
          <w:szCs w:val="20"/>
        </w:rPr>
        <w:t xml:space="preserve">Sollicitation de la Commune </w:t>
      </w:r>
      <w:r>
        <w:rPr>
          <w:rFonts w:ascii="Marianne" w:hAnsi="Marianne"/>
          <w:color w:val="000000"/>
          <w:sz w:val="20"/>
          <w:szCs w:val="20"/>
        </w:rPr>
        <w:t xml:space="preserve">de St Symphorien de </w:t>
      </w:r>
      <w:proofErr w:type="spellStart"/>
      <w:r>
        <w:rPr>
          <w:rFonts w:ascii="Marianne" w:hAnsi="Marianne"/>
          <w:color w:val="000000"/>
          <w:sz w:val="20"/>
          <w:szCs w:val="20"/>
        </w:rPr>
        <w:t>Thénières</w:t>
      </w:r>
      <w:proofErr w:type="spellEnd"/>
      <w:r>
        <w:rPr>
          <w:rFonts w:ascii="Marianne" w:hAnsi="Marianne"/>
          <w:color w:val="000000"/>
          <w:sz w:val="20"/>
          <w:szCs w:val="20"/>
        </w:rPr>
        <w:t xml:space="preserve"> et Communauté de Communes Aubrac </w:t>
      </w:r>
      <w:proofErr w:type="spellStart"/>
      <w:r>
        <w:rPr>
          <w:rFonts w:ascii="Marianne" w:hAnsi="Marianne"/>
          <w:color w:val="000000"/>
          <w:sz w:val="20"/>
          <w:szCs w:val="20"/>
        </w:rPr>
        <w:t>Carladez</w:t>
      </w:r>
      <w:proofErr w:type="spellEnd"/>
      <w:r>
        <w:rPr>
          <w:rFonts w:ascii="Marianne" w:hAnsi="Marianne"/>
          <w:color w:val="000000"/>
          <w:sz w:val="20"/>
          <w:szCs w:val="20"/>
        </w:rPr>
        <w:t xml:space="preserve"> </w:t>
      </w:r>
      <w:proofErr w:type="spellStart"/>
      <w:r>
        <w:rPr>
          <w:rFonts w:ascii="Marianne" w:hAnsi="Marianne"/>
          <w:color w:val="000000"/>
          <w:sz w:val="20"/>
          <w:szCs w:val="20"/>
        </w:rPr>
        <w:t>Viadène</w:t>
      </w:r>
      <w:proofErr w:type="spellEnd"/>
      <w:r>
        <w:rPr>
          <w:rFonts w:ascii="Marianne" w:hAnsi="Marianne"/>
          <w:color w:val="000000"/>
          <w:sz w:val="20"/>
          <w:szCs w:val="20"/>
        </w:rPr>
        <w:t xml:space="preserve"> relative </w:t>
      </w:r>
      <w:r w:rsidR="00617963">
        <w:rPr>
          <w:rFonts w:ascii="Marianne" w:hAnsi="Marianne"/>
          <w:color w:val="000000"/>
          <w:sz w:val="20"/>
          <w:szCs w:val="20"/>
        </w:rPr>
        <w:t>à la mise à jour de l’autorisation encadrant leurs installations situées sur le lac de Saint Gervais faisant partie du domaine public hydroélectrique po</w:t>
      </w:r>
      <w:r w:rsidR="00947CF2">
        <w:rPr>
          <w:rFonts w:ascii="Marianne" w:hAnsi="Marianne"/>
          <w:color w:val="000000"/>
          <w:sz w:val="20"/>
          <w:szCs w:val="20"/>
        </w:rPr>
        <w:t>r</w:t>
      </w:r>
      <w:r w:rsidR="00617963">
        <w:rPr>
          <w:rFonts w:ascii="Marianne" w:hAnsi="Marianne"/>
          <w:color w:val="000000"/>
          <w:sz w:val="20"/>
          <w:szCs w:val="20"/>
        </w:rPr>
        <w:t xml:space="preserve">tant sur : </w:t>
      </w:r>
      <w:r>
        <w:rPr>
          <w:rFonts w:ascii="Marianne" w:hAnsi="Marianne"/>
          <w:color w:val="000000"/>
          <w:sz w:val="20"/>
          <w:szCs w:val="20"/>
        </w:rPr>
        <w:t xml:space="preserve"> </w:t>
      </w:r>
    </w:p>
    <w:p w14:paraId="689836DC" w14:textId="5181C364" w:rsidR="005F0FDC" w:rsidRDefault="005F0FDC" w:rsidP="005F0FDC">
      <w:pPr>
        <w:pStyle w:val="Standard"/>
        <w:numPr>
          <w:ilvl w:val="0"/>
          <w:numId w:val="2"/>
        </w:numPr>
        <w:ind w:left="993" w:hanging="284"/>
        <w:jc w:val="both"/>
        <w:rPr>
          <w:rFonts w:ascii="Marianne" w:hAnsi="Marianne" w:hint="eastAsia"/>
          <w:color w:val="000000"/>
          <w:sz w:val="20"/>
          <w:szCs w:val="20"/>
        </w:rPr>
      </w:pPr>
      <w:r>
        <w:rPr>
          <w:rFonts w:ascii="Marianne" w:hAnsi="Marianne"/>
          <w:color w:val="000000"/>
          <w:sz w:val="20"/>
          <w:szCs w:val="20"/>
        </w:rPr>
        <w:t>Maintien des aménagements de la base de loisirs de Saint Gervais (plage en sable, aire de pique-nique, aire de jeux pour enfants, aire de sport sur sable, zone de baignade surveillée, ponton, mise à l’eau, point d’eau potable) ;</w:t>
      </w:r>
    </w:p>
    <w:p w14:paraId="6EC87EEE" w14:textId="1C5035DC" w:rsidR="005F0FDC" w:rsidRDefault="005F0FDC" w:rsidP="005F0FDC">
      <w:pPr>
        <w:pStyle w:val="Standard"/>
        <w:numPr>
          <w:ilvl w:val="0"/>
          <w:numId w:val="2"/>
        </w:numPr>
        <w:ind w:left="993" w:hanging="284"/>
        <w:jc w:val="both"/>
        <w:rPr>
          <w:rFonts w:ascii="Marianne" w:hAnsi="Marianne" w:hint="eastAsia"/>
          <w:color w:val="000000"/>
          <w:sz w:val="20"/>
          <w:szCs w:val="20"/>
        </w:rPr>
      </w:pPr>
      <w:r>
        <w:rPr>
          <w:rFonts w:ascii="Marianne" w:hAnsi="Marianne"/>
          <w:color w:val="000000"/>
          <w:sz w:val="20"/>
          <w:szCs w:val="20"/>
        </w:rPr>
        <w:t>Maintien des places de stationnement (en épi) en rives gauche et droite de la digue de Saint Gervais ;</w:t>
      </w:r>
    </w:p>
    <w:p w14:paraId="1CF6FB66" w14:textId="547FFD72" w:rsidR="005F0FDC" w:rsidRDefault="005F0FDC" w:rsidP="005F0FDC">
      <w:pPr>
        <w:pStyle w:val="Standard"/>
        <w:numPr>
          <w:ilvl w:val="0"/>
          <w:numId w:val="2"/>
        </w:numPr>
        <w:ind w:left="993" w:hanging="284"/>
        <w:jc w:val="both"/>
        <w:rPr>
          <w:rFonts w:ascii="Marianne" w:hAnsi="Marianne" w:hint="eastAsia"/>
          <w:color w:val="000000"/>
          <w:sz w:val="20"/>
          <w:szCs w:val="20"/>
        </w:rPr>
      </w:pPr>
      <w:r>
        <w:rPr>
          <w:rFonts w:ascii="Marianne" w:hAnsi="Marianne"/>
          <w:color w:val="000000"/>
          <w:sz w:val="20"/>
          <w:szCs w:val="20"/>
        </w:rPr>
        <w:t>Création d’une aire de stationnement et d’un point de collecte sélecti</w:t>
      </w:r>
      <w:r w:rsidR="00695F92">
        <w:rPr>
          <w:rFonts w:ascii="Marianne" w:hAnsi="Marianne"/>
          <w:color w:val="000000"/>
          <w:sz w:val="20"/>
          <w:szCs w:val="20"/>
        </w:rPr>
        <w:t>ve</w:t>
      </w:r>
      <w:r>
        <w:rPr>
          <w:rFonts w:ascii="Marianne" w:hAnsi="Marianne"/>
          <w:color w:val="000000"/>
          <w:sz w:val="20"/>
          <w:szCs w:val="20"/>
        </w:rPr>
        <w:t>, en rive droite de la digue de Sait Gervais ;</w:t>
      </w:r>
    </w:p>
    <w:p w14:paraId="2B34D950" w14:textId="1F463260" w:rsidR="005F0FDC" w:rsidRDefault="0010313C" w:rsidP="005F0FDC">
      <w:pPr>
        <w:pStyle w:val="Standard"/>
        <w:numPr>
          <w:ilvl w:val="0"/>
          <w:numId w:val="2"/>
        </w:numPr>
        <w:ind w:left="993" w:hanging="284"/>
        <w:jc w:val="both"/>
        <w:rPr>
          <w:rFonts w:ascii="Marianne" w:hAnsi="Marianne" w:hint="eastAsia"/>
          <w:color w:val="000000"/>
          <w:sz w:val="20"/>
          <w:szCs w:val="20"/>
        </w:rPr>
      </w:pPr>
      <w:r>
        <w:rPr>
          <w:rFonts w:ascii="Marianne" w:hAnsi="Marianne"/>
          <w:color w:val="000000"/>
          <w:sz w:val="20"/>
          <w:szCs w:val="20"/>
        </w:rPr>
        <w:t>Régularisation d’abris</w:t>
      </w:r>
      <w:r>
        <w:rPr>
          <w:sz w:val="18"/>
          <w:szCs w:val="18"/>
        </w:rPr>
        <w:t xml:space="preserve"> </w:t>
      </w:r>
      <w:r w:rsidRPr="0010313C">
        <w:rPr>
          <w:rFonts w:ascii="Marianne" w:hAnsi="Marianne"/>
          <w:color w:val="000000"/>
          <w:sz w:val="20"/>
          <w:szCs w:val="20"/>
        </w:rPr>
        <w:t>ou caches destinés à la population piscicole</w:t>
      </w:r>
      <w:r>
        <w:rPr>
          <w:rFonts w:ascii="Marianne" w:hAnsi="Marianne"/>
          <w:color w:val="000000"/>
          <w:sz w:val="20"/>
          <w:szCs w:val="20"/>
        </w:rPr>
        <w:t xml:space="preserve"> ainsi que des postes et pontons de pêche en bordure du lac de Saint Gervais ;</w:t>
      </w:r>
    </w:p>
    <w:p w14:paraId="2B028E6D" w14:textId="140C9C43" w:rsidR="0010313C" w:rsidRDefault="0010313C" w:rsidP="005F0FDC">
      <w:pPr>
        <w:pStyle w:val="Standard"/>
        <w:numPr>
          <w:ilvl w:val="0"/>
          <w:numId w:val="2"/>
        </w:numPr>
        <w:ind w:left="993" w:hanging="284"/>
        <w:jc w:val="both"/>
        <w:rPr>
          <w:rFonts w:ascii="Marianne" w:hAnsi="Marianne" w:hint="eastAsia"/>
          <w:color w:val="000000"/>
          <w:sz w:val="20"/>
          <w:szCs w:val="20"/>
        </w:rPr>
      </w:pPr>
      <w:r>
        <w:rPr>
          <w:rFonts w:ascii="Marianne" w:hAnsi="Marianne"/>
          <w:color w:val="000000"/>
          <w:sz w:val="20"/>
          <w:szCs w:val="20"/>
        </w:rPr>
        <w:t>Régularisation d’un cabanon et d’une aire de jeux en rive gauche de la digue de Saint Gervais.</w:t>
      </w:r>
    </w:p>
    <w:p w14:paraId="57EBD108" w14:textId="77777777" w:rsidR="00BB2072" w:rsidRPr="00434DF2" w:rsidRDefault="00BB2072" w:rsidP="00434DF2">
      <w:pPr>
        <w:pStyle w:val="Standard"/>
        <w:rPr>
          <w:rFonts w:ascii="Marianne" w:hAnsi="Marianne" w:hint="eastAsia"/>
          <w:color w:val="000000"/>
          <w:sz w:val="20"/>
          <w:szCs w:val="20"/>
        </w:rPr>
      </w:pPr>
    </w:p>
    <w:p w14:paraId="57EBD109" w14:textId="77777777" w:rsidR="00BB2072" w:rsidRPr="00434DF2" w:rsidRDefault="00BB2072" w:rsidP="00434DF2">
      <w:pPr>
        <w:pStyle w:val="Standard"/>
        <w:rPr>
          <w:rFonts w:ascii="Marianne" w:hAnsi="Marianne" w:hint="eastAsia"/>
          <w:color w:val="000000"/>
          <w:sz w:val="20"/>
          <w:szCs w:val="20"/>
        </w:rPr>
      </w:pPr>
    </w:p>
    <w:p w14:paraId="57EBD10A" w14:textId="77777777" w:rsidR="00BB2072" w:rsidRDefault="00220F0F">
      <w:pPr>
        <w:pStyle w:val="Standard"/>
        <w:numPr>
          <w:ilvl w:val="0"/>
          <w:numId w:val="1"/>
        </w:numPr>
        <w:jc w:val="both"/>
        <w:rPr>
          <w:rFonts w:ascii="Marianne" w:hAnsi="Marianne" w:hint="eastAsia"/>
          <w:b/>
          <w:bCs/>
          <w:color w:val="000000"/>
          <w:sz w:val="20"/>
          <w:szCs w:val="20"/>
          <w:u w:val="single"/>
        </w:rPr>
      </w:pPr>
      <w:r>
        <w:rPr>
          <w:rFonts w:ascii="Marianne" w:hAnsi="Marianne"/>
          <w:b/>
          <w:bCs/>
          <w:color w:val="000000"/>
          <w:sz w:val="20"/>
          <w:szCs w:val="20"/>
          <w:u w:val="single"/>
        </w:rPr>
        <w:t>Localisation :</w:t>
      </w:r>
    </w:p>
    <w:p w14:paraId="57EBD10B" w14:textId="029C4C48" w:rsidR="00BB2072" w:rsidRPr="00FA686C" w:rsidRDefault="00220F0F">
      <w:pPr>
        <w:pStyle w:val="Standard"/>
        <w:ind w:left="1134"/>
        <w:jc w:val="both"/>
        <w:rPr>
          <w:rFonts w:ascii="Marianne" w:hAnsi="Marianne" w:hint="eastAsia"/>
          <w:color w:val="000000"/>
          <w:sz w:val="20"/>
          <w:szCs w:val="20"/>
        </w:rPr>
      </w:pPr>
      <w:r>
        <w:rPr>
          <w:rFonts w:ascii="Marianne" w:hAnsi="Marianne"/>
          <w:b/>
          <w:bCs/>
          <w:i/>
          <w:iCs/>
          <w:color w:val="000000"/>
          <w:sz w:val="20"/>
          <w:szCs w:val="20"/>
          <w:u w:val="single"/>
        </w:rPr>
        <w:t>– département :</w:t>
      </w:r>
      <w:r w:rsidR="00FA686C">
        <w:rPr>
          <w:rFonts w:ascii="Marianne" w:hAnsi="Marianne"/>
          <w:color w:val="000000"/>
          <w:sz w:val="20"/>
          <w:szCs w:val="20"/>
        </w:rPr>
        <w:t xml:space="preserve">  </w:t>
      </w:r>
      <w:r w:rsidR="00AB2A56">
        <w:rPr>
          <w:rFonts w:ascii="Marianne" w:hAnsi="Marianne"/>
          <w:color w:val="000000"/>
          <w:sz w:val="20"/>
          <w:szCs w:val="20"/>
        </w:rPr>
        <w:t>AVEYRON</w:t>
      </w:r>
    </w:p>
    <w:p w14:paraId="57EBD10C" w14:textId="77777777" w:rsidR="00BB2072" w:rsidRPr="00434DF2" w:rsidRDefault="00BB2072" w:rsidP="00434DF2">
      <w:pPr>
        <w:pStyle w:val="Standard"/>
        <w:rPr>
          <w:rFonts w:ascii="Marianne" w:hAnsi="Marianne" w:hint="eastAsia"/>
          <w:color w:val="000000"/>
          <w:sz w:val="20"/>
          <w:szCs w:val="20"/>
        </w:rPr>
      </w:pPr>
    </w:p>
    <w:p w14:paraId="57EBD10D" w14:textId="7B0FC548" w:rsidR="00BB2072" w:rsidRPr="00FA686C" w:rsidRDefault="00220F0F">
      <w:pPr>
        <w:pStyle w:val="Standard"/>
        <w:ind w:left="1134"/>
        <w:jc w:val="both"/>
        <w:rPr>
          <w:rFonts w:ascii="Marianne" w:hAnsi="Marianne" w:hint="eastAsia"/>
          <w:color w:val="000000"/>
          <w:sz w:val="20"/>
          <w:szCs w:val="20"/>
        </w:rPr>
      </w:pPr>
      <w:r>
        <w:rPr>
          <w:rFonts w:ascii="Marianne" w:hAnsi="Marianne"/>
          <w:b/>
          <w:bCs/>
          <w:i/>
          <w:iCs/>
          <w:color w:val="000000"/>
          <w:sz w:val="20"/>
          <w:szCs w:val="20"/>
          <w:u w:val="single"/>
        </w:rPr>
        <w:t>– commune :</w:t>
      </w:r>
      <w:r w:rsidR="00FA686C">
        <w:rPr>
          <w:rFonts w:ascii="Marianne" w:hAnsi="Marianne"/>
          <w:color w:val="000000"/>
          <w:sz w:val="20"/>
          <w:szCs w:val="20"/>
        </w:rPr>
        <w:t xml:space="preserve">  </w:t>
      </w:r>
      <w:r w:rsidR="00CB7B39">
        <w:rPr>
          <w:rFonts w:ascii="Marianne" w:hAnsi="Marianne"/>
          <w:color w:val="000000"/>
          <w:sz w:val="20"/>
          <w:szCs w:val="20"/>
        </w:rPr>
        <w:t xml:space="preserve">Saint </w:t>
      </w:r>
      <w:r w:rsidR="005F0FDC">
        <w:rPr>
          <w:rFonts w:ascii="Marianne" w:hAnsi="Marianne"/>
          <w:color w:val="000000"/>
          <w:sz w:val="20"/>
          <w:szCs w:val="20"/>
        </w:rPr>
        <w:t xml:space="preserve">Symphorien de </w:t>
      </w:r>
      <w:proofErr w:type="spellStart"/>
      <w:r w:rsidR="005F0FDC">
        <w:rPr>
          <w:rFonts w:ascii="Marianne" w:hAnsi="Marianne"/>
          <w:color w:val="000000"/>
          <w:sz w:val="20"/>
          <w:szCs w:val="20"/>
        </w:rPr>
        <w:t>Thénières</w:t>
      </w:r>
      <w:proofErr w:type="spellEnd"/>
    </w:p>
    <w:p w14:paraId="57EBD10E" w14:textId="77777777" w:rsidR="00BB2072" w:rsidRPr="00434DF2" w:rsidRDefault="00BB2072" w:rsidP="00434DF2">
      <w:pPr>
        <w:pStyle w:val="Standard"/>
        <w:rPr>
          <w:rFonts w:ascii="Marianne" w:hAnsi="Marianne" w:hint="eastAsia"/>
          <w:color w:val="000000"/>
          <w:sz w:val="20"/>
          <w:szCs w:val="20"/>
        </w:rPr>
      </w:pPr>
    </w:p>
    <w:p w14:paraId="57EBD10F" w14:textId="77777777" w:rsidR="00BB2072" w:rsidRDefault="00220F0F">
      <w:pPr>
        <w:pStyle w:val="Standard"/>
        <w:ind w:left="1134"/>
        <w:jc w:val="both"/>
        <w:rPr>
          <w:rFonts w:ascii="Marianne" w:hAnsi="Marianne" w:hint="eastAsia"/>
          <w:b/>
          <w:bCs/>
          <w:i/>
          <w:iCs/>
          <w:color w:val="000000"/>
          <w:sz w:val="20"/>
          <w:szCs w:val="20"/>
          <w:u w:val="single"/>
        </w:rPr>
      </w:pPr>
      <w:r>
        <w:rPr>
          <w:rFonts w:ascii="Marianne" w:hAnsi="Marianne"/>
          <w:b/>
          <w:bCs/>
          <w:i/>
          <w:iCs/>
          <w:color w:val="000000"/>
          <w:sz w:val="20"/>
          <w:szCs w:val="20"/>
          <w:u w:val="single"/>
        </w:rPr>
        <w:t>– références cadastrales et éventuellement localisation à l’intérieur de celle(s)-ci :</w:t>
      </w:r>
    </w:p>
    <w:p w14:paraId="07443746" w14:textId="77777777" w:rsidR="00CB7B39" w:rsidRDefault="00CB7B39">
      <w:pPr>
        <w:pStyle w:val="Standard"/>
        <w:ind w:left="1134"/>
        <w:jc w:val="both"/>
        <w:rPr>
          <w:rFonts w:ascii="Marianne" w:hAnsi="Marianne" w:hint="eastAsia"/>
          <w:color w:val="000000"/>
          <w:sz w:val="20"/>
          <w:szCs w:val="20"/>
        </w:rPr>
      </w:pPr>
    </w:p>
    <w:tbl>
      <w:tblPr>
        <w:tblW w:w="0" w:type="auto"/>
        <w:jc w:val="center"/>
        <w:tblLook w:val="04A0" w:firstRow="1" w:lastRow="0" w:firstColumn="1" w:lastColumn="0" w:noHBand="0" w:noVBand="1"/>
      </w:tblPr>
      <w:tblGrid>
        <w:gridCol w:w="2948"/>
        <w:gridCol w:w="1017"/>
        <w:gridCol w:w="2102"/>
      </w:tblGrid>
      <w:tr w:rsidR="005F0FDC" w:rsidRPr="00CB7B39" w14:paraId="7323738B" w14:textId="77777777" w:rsidTr="005F0FDC">
        <w:trPr>
          <w:jc w:val="center"/>
        </w:trPr>
        <w:tc>
          <w:tcPr>
            <w:tcW w:w="2948" w:type="dxa"/>
            <w:tcBorders>
              <w:top w:val="single" w:sz="10" w:space="0" w:color="000000"/>
              <w:left w:val="single" w:sz="10" w:space="0" w:color="000000"/>
              <w:bottom w:val="single" w:sz="10" w:space="0" w:color="000000"/>
              <w:right w:val="single" w:sz="10" w:space="0" w:color="000000"/>
            </w:tcBorders>
            <w:shd w:val="clear" w:color="auto" w:fill="D9D9D9" w:themeFill="background1" w:themeFillShade="D9"/>
          </w:tcPr>
          <w:p w14:paraId="0B041E3D" w14:textId="77777777" w:rsidR="005F0FDC" w:rsidRPr="00CB7B39" w:rsidRDefault="005F0FDC" w:rsidP="00D741E4">
            <w:pPr>
              <w:rPr>
                <w:rFonts w:ascii="Marianne" w:hAnsi="Marianne" w:hint="eastAsia"/>
                <w:color w:val="000000"/>
                <w:sz w:val="20"/>
                <w:szCs w:val="20"/>
              </w:rPr>
            </w:pPr>
            <w:r w:rsidRPr="00CB7B39">
              <w:rPr>
                <w:rFonts w:ascii="Marianne" w:hAnsi="Marianne"/>
                <w:color w:val="000000"/>
                <w:sz w:val="20"/>
                <w:szCs w:val="20"/>
              </w:rPr>
              <w:t>COMMUNE</w:t>
            </w:r>
          </w:p>
        </w:tc>
        <w:tc>
          <w:tcPr>
            <w:tcW w:w="1017" w:type="dxa"/>
            <w:tcBorders>
              <w:top w:val="single" w:sz="10" w:space="0" w:color="000000"/>
              <w:left w:val="single" w:sz="10" w:space="0" w:color="000000"/>
              <w:bottom w:val="single" w:sz="10" w:space="0" w:color="000000"/>
              <w:right w:val="single" w:sz="10" w:space="0" w:color="000000"/>
            </w:tcBorders>
            <w:shd w:val="clear" w:color="auto" w:fill="D9D9D9" w:themeFill="background1" w:themeFillShade="D9"/>
          </w:tcPr>
          <w:p w14:paraId="3808C1FC" w14:textId="77777777" w:rsidR="005F0FDC" w:rsidRPr="00CB7B39" w:rsidRDefault="005F0FDC" w:rsidP="00D741E4">
            <w:pPr>
              <w:rPr>
                <w:rFonts w:ascii="Marianne" w:hAnsi="Marianne" w:hint="eastAsia"/>
                <w:color w:val="000000"/>
                <w:sz w:val="20"/>
                <w:szCs w:val="20"/>
              </w:rPr>
            </w:pPr>
            <w:r w:rsidRPr="00CB7B39">
              <w:rPr>
                <w:rFonts w:ascii="Marianne" w:hAnsi="Marianne"/>
                <w:color w:val="000000"/>
                <w:sz w:val="20"/>
                <w:szCs w:val="20"/>
              </w:rPr>
              <w:t>SECTION</w:t>
            </w:r>
          </w:p>
        </w:tc>
        <w:tc>
          <w:tcPr>
            <w:tcW w:w="2102" w:type="dxa"/>
            <w:tcBorders>
              <w:top w:val="single" w:sz="10" w:space="0" w:color="000000"/>
              <w:left w:val="single" w:sz="10" w:space="0" w:color="000000"/>
              <w:bottom w:val="single" w:sz="10" w:space="0" w:color="000000"/>
              <w:right w:val="single" w:sz="10" w:space="0" w:color="000000"/>
            </w:tcBorders>
            <w:shd w:val="clear" w:color="auto" w:fill="D9D9D9" w:themeFill="background1" w:themeFillShade="D9"/>
          </w:tcPr>
          <w:p w14:paraId="4306A063" w14:textId="77777777" w:rsidR="005F0FDC" w:rsidRPr="00CB7B39" w:rsidRDefault="005F0FDC" w:rsidP="00D741E4">
            <w:pPr>
              <w:rPr>
                <w:rFonts w:ascii="Marianne" w:hAnsi="Marianne" w:hint="eastAsia"/>
                <w:color w:val="000000"/>
                <w:sz w:val="20"/>
                <w:szCs w:val="20"/>
              </w:rPr>
            </w:pPr>
            <w:r w:rsidRPr="00CB7B39">
              <w:rPr>
                <w:rFonts w:ascii="Marianne" w:hAnsi="Marianne"/>
                <w:color w:val="000000"/>
                <w:sz w:val="20"/>
                <w:szCs w:val="20"/>
              </w:rPr>
              <w:t>PARCELLE</w:t>
            </w:r>
          </w:p>
        </w:tc>
      </w:tr>
      <w:tr w:rsidR="005F0FDC" w:rsidRPr="00CB7B39" w14:paraId="4BD09F27" w14:textId="77777777" w:rsidTr="005F0FDC">
        <w:trPr>
          <w:jc w:val="center"/>
        </w:trPr>
        <w:tc>
          <w:tcPr>
            <w:tcW w:w="2948" w:type="dxa"/>
            <w:tcBorders>
              <w:top w:val="single" w:sz="10" w:space="0" w:color="000000"/>
              <w:left w:val="single" w:sz="10" w:space="0" w:color="000000"/>
              <w:bottom w:val="single" w:sz="10" w:space="0" w:color="000000"/>
              <w:right w:val="single" w:sz="10" w:space="0" w:color="000000"/>
            </w:tcBorders>
          </w:tcPr>
          <w:p w14:paraId="32148153" w14:textId="6666C7EB" w:rsidR="005F0FDC" w:rsidRPr="00CB7B39" w:rsidRDefault="005F0FDC" w:rsidP="00D741E4">
            <w:pPr>
              <w:rPr>
                <w:rFonts w:ascii="Marianne" w:hAnsi="Marianne" w:hint="eastAsia"/>
                <w:color w:val="000000"/>
                <w:sz w:val="20"/>
                <w:szCs w:val="20"/>
              </w:rPr>
            </w:pPr>
            <w:r w:rsidRPr="00CB7B39">
              <w:rPr>
                <w:rFonts w:ascii="Marianne" w:hAnsi="Marianne"/>
                <w:color w:val="000000"/>
                <w:sz w:val="20"/>
                <w:szCs w:val="20"/>
              </w:rPr>
              <w:t>Saint-</w:t>
            </w:r>
            <w:r>
              <w:rPr>
                <w:rFonts w:ascii="Marianne" w:hAnsi="Marianne"/>
                <w:color w:val="000000"/>
                <w:sz w:val="20"/>
                <w:szCs w:val="20"/>
              </w:rPr>
              <w:t>Symphorien-de-Thénières</w:t>
            </w:r>
          </w:p>
        </w:tc>
        <w:tc>
          <w:tcPr>
            <w:tcW w:w="1017" w:type="dxa"/>
            <w:tcBorders>
              <w:top w:val="single" w:sz="10" w:space="0" w:color="000000"/>
              <w:left w:val="single" w:sz="10" w:space="0" w:color="000000"/>
              <w:bottom w:val="single" w:sz="10" w:space="0" w:color="000000"/>
              <w:right w:val="single" w:sz="10" w:space="0" w:color="000000"/>
            </w:tcBorders>
          </w:tcPr>
          <w:p w14:paraId="57B2214C" w14:textId="77777777" w:rsidR="005F0FDC" w:rsidRPr="00CB7B39" w:rsidRDefault="005F0FDC" w:rsidP="00D741E4">
            <w:pPr>
              <w:rPr>
                <w:rFonts w:ascii="Marianne" w:hAnsi="Marianne" w:hint="eastAsia"/>
                <w:color w:val="000000"/>
                <w:sz w:val="20"/>
                <w:szCs w:val="20"/>
              </w:rPr>
            </w:pPr>
            <w:r w:rsidRPr="00CB7B39">
              <w:rPr>
                <w:rFonts w:ascii="Marianne" w:hAnsi="Marianne"/>
                <w:color w:val="000000"/>
                <w:sz w:val="20"/>
                <w:szCs w:val="20"/>
              </w:rPr>
              <w:t>E</w:t>
            </w:r>
          </w:p>
        </w:tc>
        <w:tc>
          <w:tcPr>
            <w:tcW w:w="2102" w:type="dxa"/>
            <w:tcBorders>
              <w:top w:val="single" w:sz="10" w:space="0" w:color="000000"/>
              <w:left w:val="single" w:sz="10" w:space="0" w:color="000000"/>
              <w:bottom w:val="single" w:sz="10" w:space="0" w:color="000000"/>
              <w:right w:val="single" w:sz="10" w:space="0" w:color="000000"/>
            </w:tcBorders>
          </w:tcPr>
          <w:p w14:paraId="67B439C6" w14:textId="065E9D09" w:rsidR="005F0FDC" w:rsidRPr="00CB7B39" w:rsidRDefault="005F0FDC" w:rsidP="00D741E4">
            <w:pPr>
              <w:rPr>
                <w:rFonts w:ascii="Marianne" w:hAnsi="Marianne" w:hint="eastAsia"/>
                <w:color w:val="000000"/>
                <w:sz w:val="20"/>
                <w:szCs w:val="20"/>
              </w:rPr>
            </w:pPr>
            <w:r w:rsidRPr="00CB7B39">
              <w:rPr>
                <w:rFonts w:ascii="Marianne" w:hAnsi="Marianne"/>
                <w:color w:val="000000"/>
                <w:sz w:val="20"/>
                <w:szCs w:val="20"/>
              </w:rPr>
              <w:t>0</w:t>
            </w:r>
            <w:r>
              <w:rPr>
                <w:rFonts w:ascii="Marianne" w:hAnsi="Marianne"/>
                <w:color w:val="000000"/>
                <w:sz w:val="20"/>
                <w:szCs w:val="20"/>
              </w:rPr>
              <w:t>802</w:t>
            </w:r>
          </w:p>
        </w:tc>
      </w:tr>
    </w:tbl>
    <w:p w14:paraId="5B0C1BE6" w14:textId="77777777" w:rsidR="00CB7B39" w:rsidRPr="00DE4B2F" w:rsidRDefault="00CB7B39" w:rsidP="00DE4B2F">
      <w:pPr>
        <w:pStyle w:val="Standard"/>
        <w:ind w:left="1200"/>
        <w:rPr>
          <w:rFonts w:ascii="Marianne" w:hAnsi="Marianne" w:hint="eastAsia"/>
          <w:color w:val="000000"/>
          <w:sz w:val="20"/>
          <w:szCs w:val="20"/>
        </w:rPr>
      </w:pPr>
    </w:p>
    <w:p w14:paraId="57EBD113" w14:textId="77777777" w:rsidR="00BB2072" w:rsidRDefault="00220F0F">
      <w:pPr>
        <w:pStyle w:val="Standard"/>
        <w:ind w:left="1134"/>
        <w:jc w:val="both"/>
        <w:rPr>
          <w:rFonts w:ascii="Marianne" w:hAnsi="Marianne" w:hint="eastAsia"/>
          <w:color w:val="000000"/>
          <w:sz w:val="20"/>
          <w:szCs w:val="20"/>
        </w:rPr>
      </w:pPr>
      <w:r>
        <w:rPr>
          <w:rFonts w:ascii="Marianne" w:hAnsi="Marianne"/>
          <w:b/>
          <w:bCs/>
          <w:i/>
          <w:iCs/>
          <w:color w:val="000000"/>
          <w:sz w:val="20"/>
          <w:szCs w:val="20"/>
          <w:u w:val="single"/>
        </w:rPr>
        <w:t>– surface projetée à l’occupation :</w:t>
      </w:r>
    </w:p>
    <w:p w14:paraId="57EBD115" w14:textId="77777777" w:rsidR="00BB2072" w:rsidRPr="00434DF2" w:rsidRDefault="00BB2072" w:rsidP="00434DF2">
      <w:pPr>
        <w:pStyle w:val="Standard"/>
        <w:rPr>
          <w:rFonts w:ascii="Marianne" w:hAnsi="Marianne" w:hint="eastAsia"/>
          <w:color w:val="000000"/>
          <w:sz w:val="20"/>
          <w:szCs w:val="20"/>
        </w:rPr>
      </w:pPr>
    </w:p>
    <w:p w14:paraId="57EBD116" w14:textId="232F57AF" w:rsidR="00BB2072" w:rsidRPr="000F6744" w:rsidRDefault="00220F0F">
      <w:pPr>
        <w:pStyle w:val="Standard"/>
        <w:numPr>
          <w:ilvl w:val="0"/>
          <w:numId w:val="1"/>
        </w:numPr>
        <w:jc w:val="both"/>
        <w:rPr>
          <w:rFonts w:ascii="Marianne" w:hAnsi="Marianne" w:hint="eastAsia"/>
          <w:b/>
          <w:bCs/>
          <w:sz w:val="20"/>
          <w:szCs w:val="20"/>
          <w:u w:val="single"/>
        </w:rPr>
      </w:pPr>
      <w:r w:rsidRPr="000F6744">
        <w:rPr>
          <w:rFonts w:ascii="Marianne" w:hAnsi="Marianne"/>
          <w:b/>
          <w:bCs/>
          <w:sz w:val="20"/>
          <w:szCs w:val="20"/>
          <w:u w:val="single"/>
        </w:rPr>
        <w:t>Redevance :</w:t>
      </w:r>
      <w:r w:rsidR="00C40784" w:rsidRPr="000F6744">
        <w:rPr>
          <w:rFonts w:ascii="Marianne" w:hAnsi="Marianne"/>
          <w:b/>
          <w:bCs/>
          <w:sz w:val="20"/>
          <w:szCs w:val="20"/>
          <w:u w:val="single"/>
        </w:rPr>
        <w:t xml:space="preserve"> </w:t>
      </w:r>
      <w:r w:rsidR="00C40784" w:rsidRPr="000F6744">
        <w:rPr>
          <w:rFonts w:ascii="Marianne" w:hAnsi="Marianne"/>
          <w:sz w:val="20"/>
          <w:szCs w:val="20"/>
        </w:rPr>
        <w:t xml:space="preserve"> </w:t>
      </w:r>
    </w:p>
    <w:p w14:paraId="6A43A33F" w14:textId="41ED81F9" w:rsidR="000F6744" w:rsidRPr="006E4A40" w:rsidRDefault="000968D8" w:rsidP="000F6744">
      <w:pPr>
        <w:pStyle w:val="Standard"/>
        <w:numPr>
          <w:ilvl w:val="2"/>
          <w:numId w:val="1"/>
        </w:numPr>
        <w:jc w:val="both"/>
        <w:rPr>
          <w:rFonts w:ascii="Marianne" w:hAnsi="Marianne" w:hint="eastAsia"/>
          <w:b/>
          <w:bCs/>
          <w:sz w:val="20"/>
          <w:szCs w:val="20"/>
          <w:u w:val="single"/>
        </w:rPr>
      </w:pPr>
      <w:r w:rsidRPr="006E4A40">
        <w:rPr>
          <w:rFonts w:ascii="Marianne" w:hAnsi="Marianne"/>
          <w:sz w:val="20"/>
          <w:szCs w:val="20"/>
        </w:rPr>
        <w:t xml:space="preserve">Redevance annuelle </w:t>
      </w:r>
      <w:r w:rsidR="009978DD" w:rsidRPr="006E4A40">
        <w:rPr>
          <w:rFonts w:ascii="Marianne" w:hAnsi="Marianne"/>
          <w:sz w:val="20"/>
          <w:szCs w:val="20"/>
        </w:rPr>
        <w:t>d’occupation en application de l’article L2125 du CG3P</w:t>
      </w:r>
    </w:p>
    <w:p w14:paraId="57EBD117" w14:textId="77777777" w:rsidR="00BB2072" w:rsidRPr="00434DF2" w:rsidRDefault="00BB2072" w:rsidP="00434DF2">
      <w:pPr>
        <w:pStyle w:val="Standard"/>
        <w:rPr>
          <w:rFonts w:ascii="Marianne" w:hAnsi="Marianne" w:hint="eastAsia"/>
          <w:color w:val="000000"/>
          <w:sz w:val="20"/>
          <w:szCs w:val="20"/>
        </w:rPr>
      </w:pPr>
    </w:p>
    <w:p w14:paraId="57EBD118" w14:textId="1403D703" w:rsidR="00BB2072" w:rsidRDefault="00220F0F">
      <w:pPr>
        <w:pStyle w:val="Standard"/>
        <w:numPr>
          <w:ilvl w:val="0"/>
          <w:numId w:val="1"/>
        </w:numPr>
        <w:rPr>
          <w:rFonts w:ascii="Marianne" w:hAnsi="Marianne" w:hint="eastAsia"/>
          <w:b/>
          <w:bCs/>
          <w:color w:val="000000"/>
          <w:sz w:val="20"/>
          <w:szCs w:val="20"/>
          <w:u w:val="single"/>
        </w:rPr>
      </w:pPr>
      <w:r>
        <w:rPr>
          <w:rFonts w:ascii="Marianne" w:hAnsi="Marianne"/>
          <w:b/>
          <w:bCs/>
          <w:color w:val="000000"/>
          <w:sz w:val="20"/>
          <w:szCs w:val="20"/>
          <w:u w:val="single"/>
        </w:rPr>
        <w:t>Date d’effet de l’occupation projetée :</w:t>
      </w:r>
      <w:r w:rsidR="00E87647">
        <w:rPr>
          <w:rFonts w:ascii="Marianne" w:hAnsi="Marianne"/>
          <w:color w:val="000000"/>
          <w:sz w:val="20"/>
          <w:szCs w:val="20"/>
        </w:rPr>
        <w:t xml:space="preserve">  à la date de signature de toutes les parties</w:t>
      </w:r>
    </w:p>
    <w:p w14:paraId="57EBD119" w14:textId="77777777" w:rsidR="00BB2072" w:rsidRPr="00434DF2" w:rsidRDefault="00BB2072">
      <w:pPr>
        <w:pStyle w:val="Standard"/>
        <w:rPr>
          <w:rFonts w:ascii="Marianne" w:hAnsi="Marianne" w:hint="eastAsia"/>
          <w:color w:val="000000"/>
          <w:sz w:val="20"/>
          <w:szCs w:val="20"/>
        </w:rPr>
      </w:pPr>
    </w:p>
    <w:p w14:paraId="57EBD11A" w14:textId="33B68E8E" w:rsidR="00BB2072" w:rsidRDefault="00220F0F">
      <w:pPr>
        <w:pStyle w:val="Standard"/>
        <w:numPr>
          <w:ilvl w:val="0"/>
          <w:numId w:val="1"/>
        </w:numPr>
        <w:rPr>
          <w:rFonts w:ascii="Marianne" w:hAnsi="Marianne" w:hint="eastAsia"/>
          <w:b/>
          <w:bCs/>
          <w:color w:val="000000"/>
          <w:sz w:val="20"/>
          <w:szCs w:val="20"/>
          <w:u w:val="single"/>
        </w:rPr>
      </w:pPr>
      <w:r>
        <w:rPr>
          <w:rFonts w:ascii="Marianne" w:hAnsi="Marianne"/>
          <w:b/>
          <w:bCs/>
          <w:color w:val="000000"/>
          <w:sz w:val="20"/>
          <w:szCs w:val="20"/>
          <w:u w:val="single"/>
        </w:rPr>
        <w:t>Date d’échéance de l’occupation projetée :</w:t>
      </w:r>
      <w:r w:rsidR="00E87647">
        <w:rPr>
          <w:rFonts w:ascii="Marianne" w:hAnsi="Marianne"/>
          <w:color w:val="000000"/>
          <w:sz w:val="20"/>
          <w:szCs w:val="20"/>
        </w:rPr>
        <w:t xml:space="preserve">  </w:t>
      </w:r>
      <w:r w:rsidR="00CB7B39">
        <w:rPr>
          <w:rFonts w:ascii="Marianne" w:hAnsi="Marianne"/>
          <w:color w:val="000000"/>
          <w:sz w:val="20"/>
          <w:szCs w:val="20"/>
        </w:rPr>
        <w:t xml:space="preserve">durée de </w:t>
      </w:r>
      <w:r w:rsidR="005F0FDC">
        <w:rPr>
          <w:rFonts w:ascii="Marianne" w:hAnsi="Marianne"/>
          <w:color w:val="000000"/>
          <w:sz w:val="20"/>
          <w:szCs w:val="20"/>
        </w:rPr>
        <w:t>5 a</w:t>
      </w:r>
      <w:r w:rsidR="00CB7B39">
        <w:rPr>
          <w:rFonts w:ascii="Marianne" w:hAnsi="Marianne"/>
          <w:color w:val="000000"/>
          <w:sz w:val="20"/>
          <w:szCs w:val="20"/>
        </w:rPr>
        <w:t>ns à partir de la date de signature des parties</w:t>
      </w:r>
    </w:p>
    <w:p w14:paraId="29E9CDBA" w14:textId="77777777" w:rsidR="00434DF2" w:rsidRPr="00434DF2" w:rsidRDefault="00434DF2">
      <w:pPr>
        <w:pStyle w:val="Standard"/>
        <w:rPr>
          <w:rFonts w:ascii="Marianne" w:hAnsi="Marianne" w:hint="eastAsia"/>
          <w:color w:val="000000"/>
          <w:sz w:val="20"/>
          <w:szCs w:val="20"/>
        </w:rPr>
      </w:pPr>
    </w:p>
    <w:p w14:paraId="57EBD11C" w14:textId="0A3E9B22" w:rsidR="000F6744" w:rsidRDefault="000F6744">
      <w:pPr>
        <w:rPr>
          <w:rFonts w:ascii="Marianne" w:hAnsi="Marianne" w:hint="eastAsia"/>
          <w:color w:val="000000"/>
          <w:sz w:val="20"/>
          <w:szCs w:val="20"/>
        </w:rPr>
      </w:pPr>
      <w:r>
        <w:rPr>
          <w:rFonts w:ascii="Marianne" w:hAnsi="Marianne" w:hint="eastAsia"/>
          <w:color w:val="000000"/>
          <w:sz w:val="20"/>
          <w:szCs w:val="20"/>
        </w:rPr>
        <w:br w:type="page"/>
      </w:r>
    </w:p>
    <w:p w14:paraId="1ED22D90" w14:textId="39DE7E97" w:rsidR="00BB2072" w:rsidRDefault="00BB2072">
      <w:pPr>
        <w:pStyle w:val="Standard"/>
        <w:rPr>
          <w:rFonts w:ascii="Marianne" w:hAnsi="Marianne" w:hint="eastAsia"/>
          <w:color w:val="000000"/>
          <w:sz w:val="20"/>
          <w:szCs w:val="20"/>
        </w:rPr>
      </w:pPr>
    </w:p>
    <w:p w14:paraId="27AB30D0" w14:textId="77777777" w:rsidR="000F6744" w:rsidRPr="00434DF2" w:rsidRDefault="000F6744">
      <w:pPr>
        <w:pStyle w:val="Standard"/>
        <w:rPr>
          <w:rFonts w:ascii="Marianne" w:hAnsi="Marianne" w:hint="eastAsia"/>
          <w:color w:val="000000"/>
          <w:sz w:val="20"/>
          <w:szCs w:val="20"/>
        </w:rPr>
      </w:pPr>
    </w:p>
    <w:p w14:paraId="57EBD11E" w14:textId="77777777" w:rsidR="00BB2072" w:rsidRDefault="00220F0F">
      <w:pPr>
        <w:pStyle w:val="Standard"/>
        <w:jc w:val="center"/>
        <w:rPr>
          <w:rFonts w:ascii="Marianne" w:hAnsi="Marianne" w:hint="eastAsia"/>
          <w:b/>
          <w:bCs/>
          <w:color w:val="000000"/>
          <w:sz w:val="20"/>
          <w:szCs w:val="20"/>
          <w:u w:val="single"/>
        </w:rPr>
      </w:pPr>
      <w:r>
        <w:rPr>
          <w:rFonts w:ascii="Marianne" w:hAnsi="Marianne"/>
          <w:b/>
          <w:bCs/>
          <w:color w:val="000000"/>
          <w:sz w:val="20"/>
          <w:szCs w:val="20"/>
          <w:u w:val="single"/>
        </w:rPr>
        <w:t>Sélection du ou des cas concerné(s) : (1 ou 1+2 ou 1+3)</w:t>
      </w:r>
    </w:p>
    <w:p w14:paraId="57EBD11F" w14:textId="3AB42916" w:rsidR="00BB2072" w:rsidRDefault="00BB2072">
      <w:pPr>
        <w:pStyle w:val="Standard"/>
        <w:rPr>
          <w:rFonts w:ascii="Marianne" w:hAnsi="Marianne" w:hint="eastAsia"/>
          <w:b/>
          <w:bCs/>
          <w:color w:val="000000"/>
          <w:sz w:val="20"/>
          <w:szCs w:val="20"/>
          <w:u w:val="single"/>
        </w:rPr>
      </w:pPr>
    </w:p>
    <w:p w14:paraId="2C990DD4" w14:textId="77777777" w:rsidR="000F6744" w:rsidRDefault="000F6744">
      <w:pPr>
        <w:pStyle w:val="Standard"/>
        <w:rPr>
          <w:rFonts w:ascii="Marianne" w:hAnsi="Marianne" w:hint="eastAsia"/>
          <w:b/>
          <w:bCs/>
          <w:color w:val="000000"/>
          <w:sz w:val="20"/>
          <w:szCs w:val="20"/>
          <w:u w:val="single"/>
        </w:rPr>
      </w:pPr>
    </w:p>
    <w:p w14:paraId="57EBD120" w14:textId="4D0230ED" w:rsidR="00BB2072" w:rsidRDefault="00FA686C">
      <w:pPr>
        <w:pStyle w:val="Standard"/>
        <w:jc w:val="both"/>
        <w:rPr>
          <w:rFonts w:ascii="Marianne" w:hAnsi="Marianne" w:hint="eastAsia"/>
          <w:b/>
          <w:bCs/>
          <w:color w:val="000000"/>
          <w:sz w:val="20"/>
          <w:szCs w:val="20"/>
          <w:u w:val="single"/>
        </w:rPr>
      </w:pPr>
      <w:r>
        <w:rPr>
          <w:rFonts w:ascii="MS Gothic" w:eastAsia="MS Gothic" w:hAnsi="MS Gothic"/>
          <w:b/>
          <w:bCs/>
          <w:color w:val="000000"/>
        </w:rPr>
        <w:t>☒</w:t>
      </w:r>
      <w:r w:rsidR="00220F0F">
        <w:rPr>
          <w:rFonts w:ascii="Marianne" w:hAnsi="Marianne"/>
          <w:b/>
          <w:bCs/>
          <w:color w:val="000000"/>
          <w:sz w:val="20"/>
          <w:szCs w:val="20"/>
        </w:rPr>
        <w:tab/>
        <w:t xml:space="preserve">1- </w:t>
      </w:r>
      <w:r w:rsidR="00220F0F">
        <w:rPr>
          <w:rFonts w:ascii="Marianne" w:hAnsi="Marianne"/>
          <w:b/>
          <w:bCs/>
          <w:color w:val="000000"/>
          <w:sz w:val="20"/>
          <w:szCs w:val="20"/>
          <w:u w:val="single"/>
        </w:rPr>
        <w:t xml:space="preserve">Occupation </w:t>
      </w:r>
      <w:proofErr w:type="gramStart"/>
      <w:r w:rsidR="00220F0F">
        <w:rPr>
          <w:rFonts w:ascii="Marianne" w:hAnsi="Marianne"/>
          <w:b/>
          <w:bCs/>
          <w:color w:val="000000"/>
          <w:sz w:val="20"/>
          <w:szCs w:val="20"/>
          <w:u w:val="single"/>
        </w:rPr>
        <w:t>suite à une</w:t>
      </w:r>
      <w:proofErr w:type="gramEnd"/>
      <w:r w:rsidR="00220F0F">
        <w:rPr>
          <w:rFonts w:ascii="Marianne" w:hAnsi="Marianne"/>
          <w:b/>
          <w:bCs/>
          <w:color w:val="000000"/>
          <w:sz w:val="20"/>
          <w:szCs w:val="20"/>
          <w:u w:val="single"/>
        </w:rPr>
        <w:t xml:space="preserve"> manifestation d’intérêt spontanée </w:t>
      </w:r>
      <w:r w:rsidR="00220F0F">
        <w:rPr>
          <w:rFonts w:ascii="Marianne" w:hAnsi="Marianne"/>
          <w:color w:val="000000"/>
          <w:sz w:val="20"/>
          <w:szCs w:val="20"/>
          <w:u w:val="single"/>
        </w:rPr>
        <w:t>(</w:t>
      </w:r>
      <w:r w:rsidR="00220F0F">
        <w:rPr>
          <w:rFonts w:ascii="Marianne" w:eastAsia="LiberationSerif" w:hAnsi="Marianne" w:cs="LiberationSerif"/>
          <w:color w:val="000000"/>
          <w:sz w:val="20"/>
          <w:szCs w:val="20"/>
        </w:rPr>
        <w:t>L2122-1-4 du CG3P)</w:t>
      </w:r>
    </w:p>
    <w:p w14:paraId="57EBD121" w14:textId="77777777" w:rsidR="00BB2072" w:rsidRDefault="00BB2072">
      <w:pPr>
        <w:pStyle w:val="Standard"/>
        <w:jc w:val="both"/>
        <w:rPr>
          <w:rFonts w:ascii="Marianne" w:eastAsia="LiberationSerif" w:hAnsi="Marianne" w:cs="LiberationSerif"/>
          <w:color w:val="000000"/>
          <w:sz w:val="20"/>
          <w:szCs w:val="20"/>
        </w:rPr>
      </w:pPr>
    </w:p>
    <w:p w14:paraId="57EBD122" w14:textId="77777777" w:rsidR="00BB2072" w:rsidRDefault="00220F0F" w:rsidP="00434DF2">
      <w:pPr>
        <w:pStyle w:val="Standard"/>
        <w:spacing w:after="120"/>
        <w:jc w:val="both"/>
        <w:rPr>
          <w:rFonts w:ascii="Marianne" w:hAnsi="Marianne" w:hint="eastAsia"/>
          <w:color w:val="000000"/>
          <w:sz w:val="20"/>
          <w:szCs w:val="20"/>
        </w:rPr>
      </w:pPr>
      <w:r>
        <w:rPr>
          <w:rFonts w:ascii="Marianne" w:eastAsia="LiberationSerif" w:hAnsi="Marianne" w:cs="LiberationSerif"/>
          <w:color w:val="000000"/>
          <w:sz w:val="20"/>
          <w:szCs w:val="20"/>
        </w:rPr>
        <w:t>Conformément aux dispositions de l'article L2122-1-4 du Code Général de la Propriété des Personnes Publiques, lorsque la délivrance du titre mentionné à l’article L.2122-1 intervient à la suite d’une manifestation d’intérêt spontanée, l’autorité compétente doit s’assurer au préalable par une publicité suffisante, de l’absence de toute autre manifestation d’intérêt concurrente.</w:t>
      </w:r>
    </w:p>
    <w:p w14:paraId="57EBD124" w14:textId="3D2A0828" w:rsidR="00BB2072" w:rsidRDefault="00220F0F">
      <w:pPr>
        <w:pStyle w:val="Standard"/>
        <w:jc w:val="both"/>
        <w:rPr>
          <w:rFonts w:ascii="Marianne" w:hAnsi="Marianne" w:hint="eastAsia"/>
          <w:color w:val="000000"/>
          <w:sz w:val="20"/>
          <w:szCs w:val="20"/>
        </w:rPr>
      </w:pPr>
      <w:r>
        <w:rPr>
          <w:rFonts w:ascii="Marianne" w:hAnsi="Marianne"/>
          <w:color w:val="000000"/>
          <w:sz w:val="20"/>
          <w:szCs w:val="20"/>
        </w:rPr>
        <w:t xml:space="preserve">Tout porteur de projet concurrent pour l’occupation de tout ou partie de l’espace susvisé couvrant la période indiquée </w:t>
      </w:r>
      <w:r w:rsidRPr="00AB6032">
        <w:rPr>
          <w:rFonts w:ascii="Marianne" w:hAnsi="Marianne"/>
          <w:color w:val="000000"/>
          <w:sz w:val="20"/>
          <w:szCs w:val="20"/>
        </w:rPr>
        <w:t xml:space="preserve">peut se manifester </w:t>
      </w:r>
      <w:r w:rsidRPr="00AB6032">
        <w:rPr>
          <w:rFonts w:ascii="Marianne" w:hAnsi="Marianne"/>
          <w:b/>
          <w:bCs/>
          <w:color w:val="000000"/>
          <w:sz w:val="20"/>
          <w:szCs w:val="20"/>
          <w:u w:val="single"/>
        </w:rPr>
        <w:t>jusqu’au</w:t>
      </w:r>
      <w:r w:rsidR="00AB6032" w:rsidRPr="00AB6032">
        <w:rPr>
          <w:rFonts w:ascii="Marianne" w:hAnsi="Marianne"/>
          <w:b/>
          <w:bCs/>
          <w:color w:val="000000"/>
          <w:sz w:val="20"/>
          <w:szCs w:val="20"/>
          <w:u w:val="single"/>
        </w:rPr>
        <w:t xml:space="preserve"> </w:t>
      </w:r>
      <w:r w:rsidR="0010313C">
        <w:rPr>
          <w:rFonts w:ascii="Marianne" w:hAnsi="Marianne"/>
          <w:b/>
          <w:bCs/>
          <w:color w:val="000000"/>
          <w:sz w:val="20"/>
          <w:szCs w:val="20"/>
          <w:u w:val="single"/>
        </w:rPr>
        <w:t>2</w:t>
      </w:r>
      <w:r w:rsidR="00645B50">
        <w:rPr>
          <w:rFonts w:ascii="Marianne" w:hAnsi="Marianne"/>
          <w:b/>
          <w:bCs/>
          <w:color w:val="000000"/>
          <w:sz w:val="20"/>
          <w:szCs w:val="20"/>
          <w:u w:val="single"/>
        </w:rPr>
        <w:t>4</w:t>
      </w:r>
      <w:r w:rsidR="0010313C">
        <w:rPr>
          <w:rFonts w:ascii="Marianne" w:hAnsi="Marianne"/>
          <w:b/>
          <w:bCs/>
          <w:color w:val="000000"/>
          <w:sz w:val="20"/>
          <w:szCs w:val="20"/>
          <w:u w:val="single"/>
        </w:rPr>
        <w:t>/05</w:t>
      </w:r>
      <w:r w:rsidR="00146F95">
        <w:rPr>
          <w:rFonts w:ascii="Marianne" w:hAnsi="Marianne"/>
          <w:b/>
          <w:bCs/>
          <w:color w:val="000000"/>
          <w:sz w:val="20"/>
          <w:szCs w:val="20"/>
          <w:u w:val="single"/>
        </w:rPr>
        <w:t>/202</w:t>
      </w:r>
      <w:r w:rsidR="006B4C18">
        <w:rPr>
          <w:rFonts w:ascii="Marianne" w:hAnsi="Marianne"/>
          <w:b/>
          <w:bCs/>
          <w:color w:val="000000"/>
          <w:sz w:val="20"/>
          <w:szCs w:val="20"/>
          <w:u w:val="single"/>
        </w:rPr>
        <w:t>6</w:t>
      </w:r>
      <w:r w:rsidR="00146F95" w:rsidRPr="00146F95">
        <w:rPr>
          <w:rFonts w:ascii="Marianne" w:hAnsi="Marianne"/>
          <w:color w:val="000000"/>
          <w:sz w:val="20"/>
          <w:szCs w:val="20"/>
        </w:rPr>
        <w:t xml:space="preserve"> </w:t>
      </w:r>
      <w:r w:rsidRPr="00AB6032">
        <w:rPr>
          <w:rFonts w:ascii="Marianne" w:hAnsi="Marianne"/>
          <w:color w:val="000000"/>
          <w:sz w:val="20"/>
          <w:szCs w:val="20"/>
        </w:rPr>
        <w:t>en contactant :</w:t>
      </w:r>
    </w:p>
    <w:p w14:paraId="57EBD125" w14:textId="77777777" w:rsidR="00BB2072" w:rsidRDefault="00BB2072">
      <w:pPr>
        <w:pStyle w:val="Standard"/>
        <w:jc w:val="both"/>
        <w:rPr>
          <w:rFonts w:ascii="Marianne" w:hAnsi="Marianne" w:hint="eastAsia"/>
          <w:color w:val="000000"/>
          <w:sz w:val="20"/>
          <w:szCs w:val="20"/>
        </w:rPr>
      </w:pPr>
    </w:p>
    <w:p w14:paraId="57EBD126" w14:textId="4D06C3CF" w:rsidR="00BB2072" w:rsidRDefault="00220F0F">
      <w:pPr>
        <w:pStyle w:val="Standard"/>
        <w:jc w:val="both"/>
        <w:rPr>
          <w:rFonts w:ascii="Marianne" w:hAnsi="Marianne" w:hint="eastAsia"/>
          <w:color w:val="000000"/>
          <w:sz w:val="20"/>
          <w:szCs w:val="20"/>
        </w:rPr>
      </w:pPr>
      <w:r>
        <w:rPr>
          <w:rFonts w:ascii="Marianne" w:hAnsi="Marianne"/>
          <w:color w:val="000000"/>
          <w:sz w:val="20"/>
          <w:szCs w:val="20"/>
          <w:u w:val="single"/>
        </w:rPr>
        <w:t>Contact :</w:t>
      </w:r>
      <w:r>
        <w:rPr>
          <w:rFonts w:ascii="Marianne" w:hAnsi="Marianne"/>
          <w:color w:val="000000"/>
          <w:sz w:val="20"/>
          <w:szCs w:val="20"/>
        </w:rPr>
        <w:t xml:space="preserve"> </w:t>
      </w:r>
    </w:p>
    <w:p w14:paraId="57EBD127" w14:textId="1331D72A" w:rsidR="00BB2072" w:rsidRPr="00E87647" w:rsidRDefault="00220F0F">
      <w:pPr>
        <w:pStyle w:val="Standard"/>
        <w:jc w:val="both"/>
        <w:rPr>
          <w:rFonts w:ascii="Marianne" w:hAnsi="Marianne" w:hint="eastAsia"/>
          <w:color w:val="000000"/>
          <w:sz w:val="20"/>
          <w:szCs w:val="20"/>
        </w:rPr>
      </w:pPr>
      <w:r>
        <w:rPr>
          <w:rFonts w:ascii="Marianne" w:hAnsi="Marianne"/>
          <w:b/>
          <w:bCs/>
          <w:color w:val="000000"/>
          <w:sz w:val="20"/>
          <w:szCs w:val="20"/>
        </w:rPr>
        <w:tab/>
      </w:r>
      <w:r w:rsidR="00E87647">
        <w:rPr>
          <w:rFonts w:ascii="Marianne" w:hAnsi="Marianne"/>
          <w:color w:val="000000"/>
          <w:sz w:val="20"/>
          <w:szCs w:val="20"/>
        </w:rPr>
        <w:t xml:space="preserve">EDF Hydro </w:t>
      </w:r>
      <w:r w:rsidR="006B4C18">
        <w:rPr>
          <w:rFonts w:ascii="Marianne" w:hAnsi="Marianne"/>
          <w:color w:val="000000"/>
          <w:sz w:val="20"/>
          <w:szCs w:val="20"/>
        </w:rPr>
        <w:t>Lot Truyère</w:t>
      </w:r>
    </w:p>
    <w:p w14:paraId="57EBD128" w14:textId="07BED7FF" w:rsidR="00BB2072" w:rsidRPr="00E87647" w:rsidRDefault="00220F0F">
      <w:pPr>
        <w:pStyle w:val="Standard"/>
        <w:jc w:val="both"/>
        <w:rPr>
          <w:rFonts w:ascii="Marianne" w:hAnsi="Marianne" w:hint="eastAsia"/>
          <w:color w:val="000000"/>
          <w:sz w:val="20"/>
          <w:szCs w:val="20"/>
        </w:rPr>
      </w:pPr>
      <w:r>
        <w:rPr>
          <w:rFonts w:ascii="Marianne" w:hAnsi="Marianne"/>
          <w:b/>
          <w:bCs/>
          <w:color w:val="000000"/>
          <w:sz w:val="20"/>
          <w:szCs w:val="20"/>
        </w:rPr>
        <w:tab/>
      </w:r>
      <w:r w:rsidR="00E87647" w:rsidRPr="00E87647">
        <w:rPr>
          <w:rFonts w:ascii="Marianne" w:hAnsi="Marianne"/>
          <w:color w:val="000000"/>
          <w:sz w:val="20"/>
          <w:szCs w:val="20"/>
        </w:rPr>
        <w:t xml:space="preserve">Monsieur </w:t>
      </w:r>
      <w:r w:rsidR="006B4C18">
        <w:rPr>
          <w:rFonts w:ascii="Marianne" w:hAnsi="Marianne"/>
          <w:color w:val="000000"/>
          <w:sz w:val="20"/>
          <w:szCs w:val="20"/>
        </w:rPr>
        <w:t>Jean-Yves DABERNAT</w:t>
      </w:r>
    </w:p>
    <w:p w14:paraId="1749F7E6" w14:textId="5CDE2620" w:rsidR="00E87647" w:rsidRPr="00E87647" w:rsidRDefault="00E87647">
      <w:pPr>
        <w:pStyle w:val="Standard"/>
        <w:jc w:val="both"/>
        <w:rPr>
          <w:rFonts w:ascii="Marianne" w:hAnsi="Marianne" w:hint="eastAsia"/>
          <w:color w:val="000000"/>
          <w:sz w:val="20"/>
          <w:szCs w:val="20"/>
        </w:rPr>
      </w:pPr>
      <w:r w:rsidRPr="00E87647">
        <w:rPr>
          <w:rFonts w:ascii="Marianne" w:hAnsi="Marianne"/>
          <w:color w:val="000000"/>
          <w:sz w:val="20"/>
          <w:szCs w:val="20"/>
        </w:rPr>
        <w:tab/>
        <w:t xml:space="preserve">14 Avenue du </w:t>
      </w:r>
      <w:proofErr w:type="spellStart"/>
      <w:r w:rsidRPr="00E87647">
        <w:rPr>
          <w:rFonts w:ascii="Marianne" w:hAnsi="Marianne"/>
          <w:color w:val="000000"/>
          <w:sz w:val="20"/>
          <w:szCs w:val="20"/>
        </w:rPr>
        <w:t>Garric</w:t>
      </w:r>
      <w:proofErr w:type="spellEnd"/>
      <w:r w:rsidR="00434DF2">
        <w:rPr>
          <w:rFonts w:ascii="Marianne" w:hAnsi="Marianne"/>
          <w:color w:val="000000"/>
          <w:sz w:val="20"/>
          <w:szCs w:val="20"/>
        </w:rPr>
        <w:t xml:space="preserve"> - </w:t>
      </w:r>
      <w:r w:rsidRPr="00E87647">
        <w:rPr>
          <w:rFonts w:ascii="Marianne" w:hAnsi="Marianne"/>
          <w:color w:val="000000"/>
          <w:sz w:val="20"/>
          <w:szCs w:val="20"/>
        </w:rPr>
        <w:t>15000 AURILLAC</w:t>
      </w:r>
    </w:p>
    <w:p w14:paraId="295522C6" w14:textId="198B929B" w:rsidR="00E87647" w:rsidRPr="00E87647" w:rsidRDefault="00E87647">
      <w:pPr>
        <w:pStyle w:val="Standard"/>
        <w:jc w:val="both"/>
        <w:rPr>
          <w:rFonts w:ascii="Marianne" w:hAnsi="Marianne" w:hint="eastAsia"/>
          <w:color w:val="000000"/>
          <w:sz w:val="20"/>
          <w:szCs w:val="20"/>
        </w:rPr>
      </w:pPr>
      <w:r w:rsidRPr="00E87647">
        <w:rPr>
          <w:rFonts w:ascii="Marianne" w:hAnsi="Marianne"/>
          <w:color w:val="000000"/>
          <w:sz w:val="20"/>
          <w:szCs w:val="20"/>
        </w:rPr>
        <w:tab/>
        <w:t>Tél : 06.8</w:t>
      </w:r>
      <w:r w:rsidR="006B4C18">
        <w:rPr>
          <w:rFonts w:ascii="Marianne" w:hAnsi="Marianne"/>
          <w:color w:val="000000"/>
          <w:sz w:val="20"/>
          <w:szCs w:val="20"/>
        </w:rPr>
        <w:t>5.54.15.04</w:t>
      </w:r>
    </w:p>
    <w:p w14:paraId="57EBD12C" w14:textId="06B459E2" w:rsidR="00BB2072" w:rsidRDefault="00BB2072">
      <w:pPr>
        <w:pStyle w:val="Standard"/>
        <w:jc w:val="both"/>
        <w:rPr>
          <w:rFonts w:ascii="Marianne" w:hAnsi="Marianne" w:hint="eastAsia"/>
          <w:b/>
          <w:bCs/>
          <w:color w:val="000000"/>
          <w:sz w:val="20"/>
          <w:szCs w:val="20"/>
        </w:rPr>
      </w:pPr>
    </w:p>
    <w:p w14:paraId="4FE8DABD" w14:textId="77777777" w:rsidR="000F6744" w:rsidRDefault="000F6744">
      <w:pPr>
        <w:pStyle w:val="Standard"/>
        <w:jc w:val="both"/>
        <w:rPr>
          <w:rFonts w:ascii="Marianne" w:hAnsi="Marianne" w:hint="eastAsia"/>
          <w:b/>
          <w:bCs/>
          <w:color w:val="000000"/>
          <w:sz w:val="20"/>
          <w:szCs w:val="20"/>
        </w:rPr>
      </w:pPr>
    </w:p>
    <w:p w14:paraId="57EBD12E" w14:textId="60007CF3" w:rsidR="00BB2072" w:rsidRDefault="00CB7B39" w:rsidP="00CB7B39">
      <w:pPr>
        <w:pStyle w:val="Standard"/>
        <w:autoSpaceDE w:val="0"/>
        <w:jc w:val="both"/>
        <w:rPr>
          <w:rFonts w:ascii="Marianne" w:hAnsi="Marianne" w:hint="eastAsia"/>
          <w:b/>
          <w:bCs/>
          <w:color w:val="000000"/>
          <w:sz w:val="20"/>
          <w:szCs w:val="20"/>
        </w:rPr>
      </w:pPr>
      <w:r w:rsidRPr="00CB7B39">
        <w:rPr>
          <w:rFonts w:ascii="Marianne" w:eastAsia="Liberation Serif" w:hAnsi="Marianne" w:cs="Liberation Serif"/>
          <w:b/>
          <w:bCs/>
          <w:color w:val="000000"/>
          <w:sz w:val="28"/>
          <w:szCs w:val="28"/>
        </w:rPr>
        <w:t>□</w:t>
      </w:r>
      <w:r>
        <w:rPr>
          <w:rFonts w:ascii="Marianne" w:eastAsia="Liberation Serif" w:hAnsi="Marianne" w:cs="Liberation Serif"/>
          <w:b/>
          <w:bCs/>
          <w:color w:val="000000"/>
          <w:sz w:val="20"/>
          <w:szCs w:val="20"/>
        </w:rPr>
        <w:t xml:space="preserve">      </w:t>
      </w:r>
      <w:r w:rsidR="00220F0F">
        <w:rPr>
          <w:rFonts w:ascii="Marianne" w:eastAsia="LiberationSerif,Bold" w:hAnsi="Marianne" w:cs="LiberationSerif,Bold"/>
          <w:b/>
          <w:bCs/>
          <w:color w:val="000000"/>
          <w:sz w:val="20"/>
          <w:szCs w:val="20"/>
        </w:rPr>
        <w:t xml:space="preserve">2- </w:t>
      </w:r>
      <w:r w:rsidR="00220F0F">
        <w:rPr>
          <w:rFonts w:ascii="Marianne" w:hAnsi="Marianne"/>
          <w:b/>
          <w:bCs/>
          <w:color w:val="000000"/>
          <w:sz w:val="20"/>
          <w:szCs w:val="20"/>
          <w:u w:val="single"/>
        </w:rPr>
        <w:t xml:space="preserve">Occupation de courte durée ou avec un nombre d’autorisations non limité </w:t>
      </w:r>
      <w:r w:rsidR="00220F0F">
        <w:rPr>
          <w:rFonts w:ascii="Marianne" w:hAnsi="Marianne"/>
          <w:color w:val="000000"/>
          <w:sz w:val="20"/>
          <w:szCs w:val="20"/>
          <w:u w:val="single"/>
        </w:rPr>
        <w:t>(L2122-1-1</w:t>
      </w:r>
      <w:r>
        <w:rPr>
          <w:rFonts w:ascii="Marianne" w:hAnsi="Marianne"/>
          <w:color w:val="000000"/>
          <w:sz w:val="20"/>
          <w:szCs w:val="20"/>
          <w:u w:val="single"/>
        </w:rPr>
        <w:t>,</w:t>
      </w:r>
      <w:r w:rsidR="00220F0F">
        <w:rPr>
          <w:rFonts w:ascii="Marianne" w:hAnsi="Marianne"/>
          <w:color w:val="000000"/>
          <w:sz w:val="20"/>
          <w:szCs w:val="20"/>
          <w:u w:val="single"/>
        </w:rPr>
        <w:t xml:space="preserve"> 2</w:t>
      </w:r>
      <w:r w:rsidR="00220F0F">
        <w:rPr>
          <w:rFonts w:ascii="Marianne" w:hAnsi="Marianne"/>
          <w:color w:val="000000"/>
          <w:sz w:val="20"/>
          <w:szCs w:val="20"/>
          <w:u w:val="single"/>
          <w:vertAlign w:val="superscript"/>
        </w:rPr>
        <w:t xml:space="preserve">ème </w:t>
      </w:r>
      <w:r w:rsidR="00220F0F">
        <w:rPr>
          <w:rFonts w:ascii="Marianne" w:hAnsi="Marianne"/>
          <w:color w:val="000000"/>
          <w:sz w:val="20"/>
          <w:szCs w:val="20"/>
          <w:u w:val="single"/>
        </w:rPr>
        <w:t>alinéa du CG3P)</w:t>
      </w:r>
    </w:p>
    <w:p w14:paraId="57EBD12F" w14:textId="77777777" w:rsidR="00BB2072" w:rsidRDefault="00220F0F" w:rsidP="00E87647">
      <w:pPr>
        <w:pStyle w:val="Standard"/>
        <w:spacing w:before="120"/>
        <w:jc w:val="both"/>
        <w:rPr>
          <w:rFonts w:ascii="Marianne" w:hAnsi="Marianne" w:hint="eastAsia"/>
          <w:color w:val="000000"/>
          <w:sz w:val="20"/>
          <w:szCs w:val="20"/>
        </w:rPr>
      </w:pPr>
      <w:r>
        <w:rPr>
          <w:rFonts w:ascii="Marianne" w:eastAsia="LiberationSerif" w:hAnsi="Marianne" w:cs="LiberationSerif"/>
          <w:color w:val="000000"/>
          <w:sz w:val="20"/>
          <w:szCs w:val="20"/>
        </w:rPr>
        <w:t>Conformément aux dispositions de l’article L2122-1-1 du Code Général de la Propriété des Personnes Publiques, lorsque l’occupation ou l’utilisation autorisée est de courte durée ou que le nombre d’autorisations disponibles pour l’exercice de l’activité économique projetée n’est pas limité, l’autorité compétente n’est tenue que de procéder à une publicité préalable à la délivrance du titre, de nature à permettre la manifestation d’un intérêt pertinent et à informer les candidats potentiels sur les conditions générales d’attribution.</w:t>
      </w:r>
    </w:p>
    <w:p w14:paraId="57EBD130" w14:textId="718609C5" w:rsidR="00BB2072" w:rsidRDefault="00BB2072" w:rsidP="00E87647">
      <w:pPr>
        <w:pStyle w:val="Standard"/>
        <w:rPr>
          <w:rFonts w:ascii="Marianne" w:eastAsia="Liberation Serif" w:hAnsi="Marianne" w:cs="Liberation Serif"/>
          <w:b/>
          <w:bCs/>
          <w:color w:val="000000"/>
          <w:sz w:val="20"/>
          <w:szCs w:val="20"/>
        </w:rPr>
      </w:pPr>
    </w:p>
    <w:p w14:paraId="3E31B364" w14:textId="77777777" w:rsidR="000F6744" w:rsidRDefault="000F6744" w:rsidP="00E87647">
      <w:pPr>
        <w:pStyle w:val="Standard"/>
        <w:rPr>
          <w:rFonts w:ascii="Marianne" w:eastAsia="Liberation Serif" w:hAnsi="Marianne" w:cs="Liberation Serif"/>
          <w:b/>
          <w:bCs/>
          <w:color w:val="000000"/>
          <w:sz w:val="20"/>
          <w:szCs w:val="20"/>
        </w:rPr>
      </w:pPr>
    </w:p>
    <w:p w14:paraId="57EBD131" w14:textId="7EC8D0CD" w:rsidR="00BB2072" w:rsidRDefault="00220F0F">
      <w:pPr>
        <w:pStyle w:val="Standard"/>
        <w:rPr>
          <w:rFonts w:ascii="Marianne" w:eastAsia="Liberation Serif" w:hAnsi="Marianne" w:cs="Liberation Serif"/>
          <w:b/>
          <w:bCs/>
          <w:color w:val="000000"/>
          <w:sz w:val="20"/>
          <w:szCs w:val="20"/>
        </w:rPr>
      </w:pPr>
      <w:r>
        <w:rPr>
          <w:rFonts w:ascii="Marianne" w:eastAsia="Liberation Serif" w:hAnsi="Marianne" w:cs="Liberation Serif"/>
          <w:b/>
          <w:bCs/>
          <w:color w:val="000000"/>
          <w:sz w:val="20"/>
          <w:szCs w:val="20"/>
        </w:rPr>
        <w:t>Motif(s) retenu(s) et considérations (s) :</w:t>
      </w:r>
    </w:p>
    <w:p w14:paraId="78FF344B" w14:textId="77777777" w:rsidR="000F6744" w:rsidRDefault="000F6744">
      <w:pPr>
        <w:pStyle w:val="Standard"/>
        <w:rPr>
          <w:rFonts w:ascii="Marianne" w:eastAsia="Liberation Serif" w:hAnsi="Marianne" w:cs="Liberation Serif"/>
          <w:b/>
          <w:bCs/>
          <w:color w:val="000000"/>
          <w:sz w:val="20"/>
          <w:szCs w:val="20"/>
        </w:rPr>
      </w:pPr>
    </w:p>
    <w:tbl>
      <w:tblPr>
        <w:tblW w:w="10069" w:type="dxa"/>
        <w:tblLayout w:type="fixed"/>
        <w:tblCellMar>
          <w:left w:w="10" w:type="dxa"/>
          <w:right w:w="10" w:type="dxa"/>
        </w:tblCellMar>
        <w:tblLook w:val="0000" w:firstRow="0" w:lastRow="0" w:firstColumn="0" w:lastColumn="0" w:noHBand="0" w:noVBand="0"/>
      </w:tblPr>
      <w:tblGrid>
        <w:gridCol w:w="457"/>
        <w:gridCol w:w="953"/>
        <w:gridCol w:w="8659"/>
      </w:tblGrid>
      <w:tr w:rsidR="00BB2072" w14:paraId="57EBD133" w14:textId="77777777">
        <w:tc>
          <w:tcPr>
            <w:tcW w:w="1006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EBD132" w14:textId="77777777" w:rsidR="00BB2072" w:rsidRDefault="00220F0F">
            <w:pPr>
              <w:pStyle w:val="TableContents"/>
              <w:autoSpaceDE w:val="0"/>
              <w:jc w:val="center"/>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Référence réglementaire</w:t>
            </w:r>
          </w:p>
        </w:tc>
      </w:tr>
      <w:tr w:rsidR="00BB2072" w14:paraId="57EBD139" w14:textId="77777777">
        <w:tc>
          <w:tcPr>
            <w:tcW w:w="457" w:type="dxa"/>
            <w:tcBorders>
              <w:top w:val="single" w:sz="2" w:space="0" w:color="000000"/>
              <w:left w:val="single" w:sz="2" w:space="0" w:color="000000"/>
              <w:bottom w:val="single" w:sz="2" w:space="0" w:color="000000"/>
            </w:tcBorders>
            <w:tcMar>
              <w:top w:w="55" w:type="dxa"/>
              <w:left w:w="55" w:type="dxa"/>
              <w:bottom w:w="55" w:type="dxa"/>
              <w:right w:w="55" w:type="dxa"/>
            </w:tcMar>
          </w:tcPr>
          <w:p w14:paraId="57EBD134" w14:textId="6EF7E832" w:rsidR="00BB2072" w:rsidRDefault="00220F0F" w:rsidP="00CB7B39">
            <w:pPr>
              <w:pStyle w:val="Standard"/>
              <w:autoSpaceDE w:val="0"/>
              <w:ind w:left="142"/>
              <w:rPr>
                <w:rFonts w:ascii="Marianne" w:eastAsia="LiberationSerif,Bold" w:hAnsi="Marianne" w:cs="LiberationSerif,Bold"/>
                <w:b/>
                <w:bCs/>
                <w:color w:val="000000"/>
                <w:sz w:val="20"/>
                <w:szCs w:val="20"/>
              </w:rPr>
            </w:pPr>
            <w:r>
              <w:rPr>
                <w:rFonts w:ascii="Marianne" w:eastAsia="Liberation Serif" w:hAnsi="Marianne" w:cs="Liberation Serif"/>
                <w:b/>
                <w:bCs/>
                <w:color w:val="000000"/>
                <w:sz w:val="20"/>
                <w:szCs w:val="20"/>
              </w:rPr>
              <w:t>□</w:t>
            </w:r>
          </w:p>
        </w:tc>
        <w:tc>
          <w:tcPr>
            <w:tcW w:w="953" w:type="dxa"/>
            <w:tcBorders>
              <w:top w:val="single" w:sz="2" w:space="0" w:color="000000"/>
              <w:left w:val="single" w:sz="2" w:space="0" w:color="000000"/>
              <w:bottom w:val="single" w:sz="2" w:space="0" w:color="000000"/>
            </w:tcBorders>
            <w:tcMar>
              <w:top w:w="55" w:type="dxa"/>
              <w:left w:w="55" w:type="dxa"/>
              <w:bottom w:w="55" w:type="dxa"/>
              <w:right w:w="55" w:type="dxa"/>
            </w:tcMar>
          </w:tcPr>
          <w:p w14:paraId="57EBD135"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L2122-1-1</w:t>
            </w:r>
          </w:p>
          <w:p w14:paraId="57EBD136" w14:textId="77777777" w:rsidR="00BB2072" w:rsidRDefault="00220F0F">
            <w:pPr>
              <w:pStyle w:val="TableContents"/>
              <w:autoSpaceDE w:val="0"/>
              <w:rPr>
                <w:rFonts w:ascii="Marianne" w:eastAsia="LiberationSerif,Bold" w:hAnsi="Marianne" w:cs="LiberationSerif,Bold"/>
                <w:b/>
                <w:bCs/>
                <w:color w:val="000000"/>
                <w:sz w:val="20"/>
                <w:szCs w:val="20"/>
              </w:rPr>
            </w:pPr>
            <w:proofErr w:type="gramStart"/>
            <w:r>
              <w:rPr>
                <w:rFonts w:ascii="Marianne" w:eastAsia="LiberationSerif,Bold" w:hAnsi="Marianne" w:cs="LiberationSerif,Bold"/>
                <w:b/>
                <w:bCs/>
                <w:color w:val="000000"/>
                <w:sz w:val="20"/>
                <w:szCs w:val="20"/>
              </w:rPr>
              <w:t>alinéa</w:t>
            </w:r>
            <w:proofErr w:type="gramEnd"/>
            <w:r>
              <w:rPr>
                <w:rFonts w:ascii="Marianne" w:eastAsia="LiberationSerif,Bold" w:hAnsi="Marianne" w:cs="LiberationSerif,Bold"/>
                <w:b/>
                <w:bCs/>
                <w:color w:val="000000"/>
                <w:sz w:val="20"/>
                <w:szCs w:val="20"/>
              </w:rPr>
              <w:t xml:space="preserve"> 2</w:t>
            </w:r>
          </w:p>
        </w:tc>
        <w:tc>
          <w:tcPr>
            <w:tcW w:w="86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EBD138" w14:textId="2CBDB3EF" w:rsidR="00BB2072" w:rsidRDefault="00220F0F" w:rsidP="0098455D">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Occupation ou l’utilisation autorisée de courte durée</w:t>
            </w:r>
          </w:p>
        </w:tc>
      </w:tr>
      <w:tr w:rsidR="00BB2072" w14:paraId="57EBD13E" w14:textId="77777777">
        <w:tc>
          <w:tcPr>
            <w:tcW w:w="457" w:type="dxa"/>
            <w:tcBorders>
              <w:left w:val="single" w:sz="2" w:space="0" w:color="000000"/>
              <w:bottom w:val="single" w:sz="2" w:space="0" w:color="000000"/>
            </w:tcBorders>
            <w:tcMar>
              <w:top w:w="55" w:type="dxa"/>
              <w:left w:w="55" w:type="dxa"/>
              <w:bottom w:w="55" w:type="dxa"/>
              <w:right w:w="55" w:type="dxa"/>
            </w:tcMar>
          </w:tcPr>
          <w:p w14:paraId="57EBD13A" w14:textId="77777777" w:rsidR="00BB2072" w:rsidRDefault="00220F0F">
            <w:pPr>
              <w:pStyle w:val="Standard"/>
              <w:autoSpaceDE w:val="0"/>
              <w:jc w:val="center"/>
              <w:rPr>
                <w:rFonts w:ascii="Marianne" w:eastAsia="Liberation Serif" w:hAnsi="Marianne" w:cs="Liberation Serif"/>
                <w:b/>
                <w:bCs/>
                <w:color w:val="000000"/>
                <w:sz w:val="20"/>
                <w:szCs w:val="20"/>
              </w:rPr>
            </w:pPr>
            <w:r>
              <w:rPr>
                <w:rFonts w:ascii="Marianne" w:eastAsia="Liberation Serif" w:hAnsi="Marianne" w:cs="Liberation Serif"/>
                <w:b/>
                <w:bCs/>
                <w:color w:val="000000"/>
                <w:sz w:val="20"/>
                <w:szCs w:val="20"/>
              </w:rPr>
              <w:t>□</w:t>
            </w:r>
          </w:p>
        </w:tc>
        <w:tc>
          <w:tcPr>
            <w:tcW w:w="953" w:type="dxa"/>
            <w:tcBorders>
              <w:left w:val="single" w:sz="2" w:space="0" w:color="000000"/>
              <w:bottom w:val="single" w:sz="2" w:space="0" w:color="000000"/>
            </w:tcBorders>
            <w:tcMar>
              <w:top w:w="55" w:type="dxa"/>
              <w:left w:w="55" w:type="dxa"/>
              <w:bottom w:w="55" w:type="dxa"/>
              <w:right w:w="55" w:type="dxa"/>
            </w:tcMar>
          </w:tcPr>
          <w:p w14:paraId="57EBD13B"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L2122-1-1</w:t>
            </w:r>
          </w:p>
          <w:p w14:paraId="57EBD13C" w14:textId="77777777" w:rsidR="00BB2072" w:rsidRDefault="00220F0F">
            <w:pPr>
              <w:pStyle w:val="TableContents"/>
              <w:autoSpaceDE w:val="0"/>
              <w:rPr>
                <w:rFonts w:ascii="Marianne" w:eastAsia="LiberationSerif,Bold" w:hAnsi="Marianne" w:cs="LiberationSerif,Bold"/>
                <w:b/>
                <w:bCs/>
                <w:color w:val="000000"/>
                <w:sz w:val="20"/>
                <w:szCs w:val="20"/>
              </w:rPr>
            </w:pPr>
            <w:proofErr w:type="gramStart"/>
            <w:r>
              <w:rPr>
                <w:rFonts w:ascii="Marianne" w:eastAsia="LiberationSerif,Bold" w:hAnsi="Marianne" w:cs="LiberationSerif,Bold"/>
                <w:b/>
                <w:bCs/>
                <w:color w:val="000000"/>
                <w:sz w:val="20"/>
                <w:szCs w:val="20"/>
              </w:rPr>
              <w:t>alinéa</w:t>
            </w:r>
            <w:proofErr w:type="gramEnd"/>
            <w:r>
              <w:rPr>
                <w:rFonts w:ascii="Marianne" w:eastAsia="LiberationSerif,Bold" w:hAnsi="Marianne" w:cs="LiberationSerif,Bold"/>
                <w:b/>
                <w:bCs/>
                <w:color w:val="000000"/>
                <w:sz w:val="20"/>
                <w:szCs w:val="20"/>
              </w:rPr>
              <w:t xml:space="preserve"> 2</w:t>
            </w:r>
          </w:p>
        </w:tc>
        <w:tc>
          <w:tcPr>
            <w:tcW w:w="86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EBD13D" w14:textId="77777777" w:rsidR="00BB2072" w:rsidRDefault="00220F0F">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Le nombre d’autorisations disponibles pour l'exercice de l'activité économique projetée n’est pas limité,</w:t>
            </w:r>
          </w:p>
        </w:tc>
      </w:tr>
    </w:tbl>
    <w:p w14:paraId="57EBD13F" w14:textId="77777777" w:rsidR="00BB2072" w:rsidRDefault="00BB2072">
      <w:pPr>
        <w:pStyle w:val="Standard"/>
        <w:autoSpaceDE w:val="0"/>
        <w:jc w:val="both"/>
        <w:rPr>
          <w:rFonts w:ascii="Marianne" w:eastAsia="Liberation Serif" w:hAnsi="Marianne" w:cs="Liberation Serif"/>
          <w:b/>
          <w:bCs/>
          <w:color w:val="000000"/>
          <w:sz w:val="20"/>
          <w:szCs w:val="20"/>
        </w:rPr>
      </w:pPr>
    </w:p>
    <w:p w14:paraId="57EBD144" w14:textId="3E5D9AB4" w:rsidR="00BB2072" w:rsidRDefault="00BB2072">
      <w:pPr>
        <w:pStyle w:val="Standard"/>
        <w:jc w:val="both"/>
        <w:rPr>
          <w:rFonts w:ascii="Marianne" w:hAnsi="Marianne" w:hint="eastAsia"/>
          <w:b/>
          <w:bCs/>
          <w:color w:val="000000"/>
          <w:sz w:val="20"/>
          <w:szCs w:val="20"/>
          <w:u w:val="single"/>
        </w:rPr>
      </w:pPr>
    </w:p>
    <w:p w14:paraId="2804C395" w14:textId="331C61DF" w:rsidR="000F6744" w:rsidRDefault="000F6744">
      <w:pPr>
        <w:rPr>
          <w:rFonts w:ascii="Marianne" w:hAnsi="Marianne" w:hint="eastAsia"/>
          <w:b/>
          <w:bCs/>
          <w:color w:val="000000"/>
          <w:sz w:val="20"/>
          <w:szCs w:val="20"/>
          <w:u w:val="single"/>
        </w:rPr>
      </w:pPr>
      <w:r>
        <w:rPr>
          <w:rFonts w:ascii="Marianne" w:hAnsi="Marianne" w:hint="eastAsia"/>
          <w:b/>
          <w:bCs/>
          <w:color w:val="000000"/>
          <w:sz w:val="20"/>
          <w:szCs w:val="20"/>
          <w:u w:val="single"/>
        </w:rPr>
        <w:br w:type="page"/>
      </w:r>
    </w:p>
    <w:p w14:paraId="62E3805A" w14:textId="77777777" w:rsidR="00757FE8" w:rsidRDefault="00757FE8">
      <w:pPr>
        <w:pStyle w:val="Standard"/>
        <w:jc w:val="both"/>
        <w:rPr>
          <w:rFonts w:ascii="Marianne" w:hAnsi="Marianne" w:hint="eastAsia"/>
          <w:b/>
          <w:bCs/>
          <w:color w:val="000000"/>
          <w:sz w:val="20"/>
          <w:szCs w:val="20"/>
          <w:u w:val="single"/>
        </w:rPr>
      </w:pPr>
    </w:p>
    <w:p w14:paraId="57EBD148" w14:textId="77777777" w:rsidR="00BB2072" w:rsidRDefault="00BB2072">
      <w:pPr>
        <w:pStyle w:val="Standard"/>
        <w:jc w:val="both"/>
        <w:rPr>
          <w:rFonts w:ascii="Marianne" w:hAnsi="Marianne" w:hint="eastAsia"/>
          <w:b/>
          <w:bCs/>
          <w:color w:val="000000"/>
          <w:sz w:val="20"/>
          <w:szCs w:val="20"/>
          <w:u w:val="single"/>
        </w:rPr>
      </w:pPr>
    </w:p>
    <w:p w14:paraId="57EBD149" w14:textId="0CF5377F" w:rsidR="00BB2072" w:rsidRDefault="00220F0F" w:rsidP="00CB7B39">
      <w:pPr>
        <w:pStyle w:val="Standard"/>
        <w:numPr>
          <w:ilvl w:val="0"/>
          <w:numId w:val="7"/>
        </w:numPr>
        <w:ind w:left="426"/>
        <w:jc w:val="both"/>
        <w:rPr>
          <w:rFonts w:ascii="Marianne" w:hAnsi="Marianne" w:hint="eastAsia"/>
          <w:b/>
          <w:bCs/>
          <w:color w:val="000000"/>
          <w:sz w:val="20"/>
          <w:szCs w:val="20"/>
          <w:u w:val="single"/>
        </w:rPr>
      </w:pPr>
      <w:r>
        <w:rPr>
          <w:rFonts w:ascii="Marianne" w:hAnsi="Marianne"/>
          <w:b/>
          <w:bCs/>
          <w:color w:val="000000"/>
          <w:sz w:val="20"/>
          <w:szCs w:val="20"/>
        </w:rPr>
        <w:t xml:space="preserve">3- </w:t>
      </w:r>
      <w:r>
        <w:rPr>
          <w:rFonts w:ascii="Marianne" w:hAnsi="Marianne"/>
          <w:b/>
          <w:bCs/>
          <w:color w:val="000000"/>
          <w:sz w:val="20"/>
          <w:szCs w:val="20"/>
          <w:u w:val="single"/>
        </w:rPr>
        <w:t>Considérations de droit et de fait dérogatoires à la procédure de sélection préalable prévue au L.2122-1-1</w:t>
      </w:r>
      <w:r>
        <w:rPr>
          <w:rFonts w:ascii="Marianne" w:hAnsi="Marianne"/>
          <w:color w:val="000000"/>
          <w:sz w:val="20"/>
          <w:szCs w:val="20"/>
          <w:u w:val="single"/>
        </w:rPr>
        <w:t xml:space="preserve"> (L2122-1-3 du CG3P)</w:t>
      </w:r>
    </w:p>
    <w:p w14:paraId="57EBD14A" w14:textId="009953A3" w:rsidR="00BB2072" w:rsidRDefault="00220F0F">
      <w:pPr>
        <w:pStyle w:val="Standard"/>
        <w:jc w:val="both"/>
        <w:rPr>
          <w:rFonts w:ascii="Marianne" w:hAnsi="Marianne" w:hint="eastAsia"/>
          <w:color w:val="000000"/>
          <w:sz w:val="20"/>
          <w:szCs w:val="20"/>
        </w:rPr>
      </w:pPr>
      <w:r>
        <w:rPr>
          <w:rFonts w:ascii="Marianne" w:eastAsia="LiberationSerif" w:hAnsi="Marianne" w:cs="LiberationSerif"/>
          <w:color w:val="000000"/>
          <w:sz w:val="20"/>
          <w:szCs w:val="20"/>
        </w:rPr>
        <w:t>Conformément aux dispositions de l’article L2122-1-3 du Code Général de la Propriété des Personnes Publiques, lorsqu’elle fait usage de la dérogation prévue à l'article susvisé, l’autorité compétente rend publiques les considérations de droit et de fait l’ayant conduite à ne pas mettre en œuvre la procédure prévue à l’article L.2122-1-1.</w:t>
      </w:r>
    </w:p>
    <w:p w14:paraId="57EBD14B" w14:textId="77777777" w:rsidR="00BB2072" w:rsidRDefault="00BB2072">
      <w:pPr>
        <w:pStyle w:val="Standard"/>
        <w:jc w:val="center"/>
        <w:rPr>
          <w:rFonts w:ascii="Marianne" w:hAnsi="Marianne" w:hint="eastAsia"/>
          <w:b/>
          <w:bCs/>
          <w:color w:val="000000"/>
          <w:sz w:val="20"/>
          <w:szCs w:val="20"/>
          <w:u w:val="single"/>
        </w:rPr>
      </w:pPr>
    </w:p>
    <w:p w14:paraId="57EBD14C" w14:textId="4CBFDC74" w:rsidR="00BB2072" w:rsidRDefault="00220F0F">
      <w:pPr>
        <w:pStyle w:val="Standard"/>
        <w:rPr>
          <w:rFonts w:ascii="Marianne" w:eastAsia="Liberation Serif" w:hAnsi="Marianne" w:cs="Liberation Serif"/>
          <w:b/>
          <w:bCs/>
          <w:color w:val="000000"/>
          <w:sz w:val="20"/>
          <w:szCs w:val="20"/>
        </w:rPr>
      </w:pPr>
      <w:r>
        <w:rPr>
          <w:rFonts w:ascii="Marianne" w:eastAsia="Liberation Serif" w:hAnsi="Marianne" w:cs="Liberation Serif"/>
          <w:b/>
          <w:bCs/>
          <w:color w:val="000000"/>
          <w:sz w:val="20"/>
          <w:szCs w:val="20"/>
        </w:rPr>
        <w:t>Motif(s) retenu(s) et considérations (s) :</w:t>
      </w:r>
    </w:p>
    <w:p w14:paraId="77792D39" w14:textId="77777777" w:rsidR="000F6744" w:rsidRDefault="000F6744">
      <w:pPr>
        <w:pStyle w:val="Standard"/>
        <w:rPr>
          <w:rFonts w:ascii="Marianne" w:eastAsia="Liberation Serif" w:hAnsi="Marianne" w:cs="Liberation Serif"/>
          <w:b/>
          <w:bCs/>
          <w:color w:val="000000"/>
          <w:sz w:val="20"/>
          <w:szCs w:val="20"/>
        </w:rPr>
      </w:pPr>
    </w:p>
    <w:tbl>
      <w:tblPr>
        <w:tblW w:w="10411" w:type="dxa"/>
        <w:tblLayout w:type="fixed"/>
        <w:tblCellMar>
          <w:left w:w="10" w:type="dxa"/>
          <w:right w:w="10" w:type="dxa"/>
        </w:tblCellMar>
        <w:tblLook w:val="0000" w:firstRow="0" w:lastRow="0" w:firstColumn="0" w:lastColumn="0" w:noHBand="0" w:noVBand="0"/>
      </w:tblPr>
      <w:tblGrid>
        <w:gridCol w:w="764"/>
        <w:gridCol w:w="1073"/>
        <w:gridCol w:w="8539"/>
        <w:gridCol w:w="35"/>
      </w:tblGrid>
      <w:tr w:rsidR="00BB2072" w14:paraId="57EBD14E" w14:textId="77777777" w:rsidTr="0010313C">
        <w:tc>
          <w:tcPr>
            <w:tcW w:w="10411"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EBD14D" w14:textId="77777777" w:rsidR="00BB2072" w:rsidRDefault="00220F0F">
            <w:pPr>
              <w:pStyle w:val="TableContents"/>
              <w:autoSpaceDE w:val="0"/>
              <w:jc w:val="center"/>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Référence réglementaire</w:t>
            </w:r>
          </w:p>
        </w:tc>
      </w:tr>
      <w:tr w:rsidR="00BB2072" w14:paraId="57EBD154" w14:textId="77777777" w:rsidTr="0010313C">
        <w:trPr>
          <w:gridAfter w:val="1"/>
          <w:wAfter w:w="35" w:type="dxa"/>
        </w:trPr>
        <w:tc>
          <w:tcPr>
            <w:tcW w:w="764" w:type="dxa"/>
            <w:tcBorders>
              <w:top w:val="single" w:sz="2" w:space="0" w:color="000000"/>
              <w:left w:val="single" w:sz="2" w:space="0" w:color="000000"/>
              <w:bottom w:val="single" w:sz="2" w:space="0" w:color="000000"/>
            </w:tcBorders>
            <w:tcMar>
              <w:top w:w="55" w:type="dxa"/>
              <w:left w:w="55" w:type="dxa"/>
              <w:bottom w:w="55" w:type="dxa"/>
              <w:right w:w="55" w:type="dxa"/>
            </w:tcMar>
          </w:tcPr>
          <w:p w14:paraId="57EBD14F" w14:textId="7E183A81" w:rsidR="00BB2072" w:rsidRDefault="0010313C" w:rsidP="0010313C">
            <w:pPr>
              <w:pStyle w:val="Standard"/>
              <w:autoSpaceDE w:val="0"/>
              <w:jc w:val="center"/>
              <w:rPr>
                <w:rFonts w:ascii="Marianne" w:eastAsia="LiberationSerif,Bold" w:hAnsi="Marianne" w:cs="LiberationSerif,Bold"/>
                <w:b/>
                <w:bCs/>
                <w:color w:val="000000"/>
                <w:sz w:val="20"/>
                <w:szCs w:val="20"/>
              </w:rPr>
            </w:pPr>
            <w:r>
              <w:rPr>
                <w:rFonts w:ascii="Marianne" w:eastAsia="Liberation Serif" w:hAnsi="Marianne" w:cs="Liberation Serif"/>
                <w:b/>
                <w:bCs/>
                <w:color w:val="000000"/>
                <w:sz w:val="20"/>
                <w:szCs w:val="20"/>
              </w:rPr>
              <w:t>□</w:t>
            </w:r>
          </w:p>
        </w:tc>
        <w:tc>
          <w:tcPr>
            <w:tcW w:w="1073" w:type="dxa"/>
            <w:tcBorders>
              <w:top w:val="single" w:sz="2" w:space="0" w:color="000000"/>
              <w:left w:val="single" w:sz="2" w:space="0" w:color="000000"/>
              <w:bottom w:val="single" w:sz="2" w:space="0" w:color="000000"/>
            </w:tcBorders>
            <w:tcMar>
              <w:top w:w="55" w:type="dxa"/>
              <w:left w:w="55" w:type="dxa"/>
              <w:bottom w:w="55" w:type="dxa"/>
              <w:right w:w="55" w:type="dxa"/>
            </w:tcMar>
          </w:tcPr>
          <w:p w14:paraId="57EBD150"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L2122-1-3</w:t>
            </w:r>
          </w:p>
          <w:p w14:paraId="57EBD151"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1°)</w:t>
            </w:r>
          </w:p>
        </w:tc>
        <w:tc>
          <w:tcPr>
            <w:tcW w:w="853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EBD153" w14:textId="2342A5F2" w:rsidR="00BB2072" w:rsidRDefault="00220F0F" w:rsidP="000F6744">
            <w:pPr>
              <w:pStyle w:val="TableContents"/>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Une seule personne est en droit d’occuper la dépendance du domaine public en cause ;</w:t>
            </w:r>
          </w:p>
        </w:tc>
      </w:tr>
      <w:tr w:rsidR="00BB2072" w14:paraId="57EBD15A" w14:textId="77777777" w:rsidTr="0010313C">
        <w:trPr>
          <w:gridAfter w:val="1"/>
          <w:wAfter w:w="35" w:type="dxa"/>
        </w:trPr>
        <w:tc>
          <w:tcPr>
            <w:tcW w:w="764" w:type="dxa"/>
            <w:tcBorders>
              <w:left w:val="single" w:sz="2" w:space="0" w:color="000000"/>
              <w:bottom w:val="single" w:sz="2" w:space="0" w:color="000000"/>
            </w:tcBorders>
            <w:tcMar>
              <w:top w:w="55" w:type="dxa"/>
              <w:left w:w="55" w:type="dxa"/>
              <w:bottom w:w="55" w:type="dxa"/>
              <w:right w:w="55" w:type="dxa"/>
            </w:tcMar>
          </w:tcPr>
          <w:p w14:paraId="57EBD155" w14:textId="7437EF1C" w:rsidR="00BB2072" w:rsidRDefault="00220F0F">
            <w:pPr>
              <w:pStyle w:val="Standard"/>
              <w:autoSpaceDE w:val="0"/>
              <w:jc w:val="center"/>
              <w:rPr>
                <w:rFonts w:ascii="Marianne" w:eastAsia="LiberationSerif,Bold" w:hAnsi="Marianne" w:cs="LiberationSerif,Bold"/>
                <w:b/>
                <w:bCs/>
                <w:color w:val="000000"/>
                <w:sz w:val="20"/>
                <w:szCs w:val="20"/>
              </w:rPr>
            </w:pPr>
            <w:r>
              <w:rPr>
                <w:rFonts w:ascii="Marianne" w:eastAsia="Liberation Serif" w:hAnsi="Marianne" w:cs="Liberation Serif"/>
                <w:b/>
                <w:bCs/>
                <w:color w:val="000000"/>
                <w:sz w:val="20"/>
                <w:szCs w:val="20"/>
              </w:rPr>
              <w:t>□</w:t>
            </w:r>
          </w:p>
        </w:tc>
        <w:tc>
          <w:tcPr>
            <w:tcW w:w="1073" w:type="dxa"/>
            <w:tcBorders>
              <w:left w:val="single" w:sz="2" w:space="0" w:color="000000"/>
              <w:bottom w:val="single" w:sz="2" w:space="0" w:color="000000"/>
            </w:tcBorders>
            <w:tcMar>
              <w:top w:w="55" w:type="dxa"/>
              <w:left w:w="55" w:type="dxa"/>
              <w:bottom w:w="55" w:type="dxa"/>
              <w:right w:w="55" w:type="dxa"/>
            </w:tcMar>
          </w:tcPr>
          <w:p w14:paraId="57EBD156"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L2122-1-3</w:t>
            </w:r>
          </w:p>
          <w:p w14:paraId="57EBD157"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2°)</w:t>
            </w:r>
          </w:p>
        </w:tc>
        <w:tc>
          <w:tcPr>
            <w:tcW w:w="853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EBD159" w14:textId="3933C413" w:rsidR="00BB2072" w:rsidRDefault="00220F0F" w:rsidP="000F6744">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Le titre est délivré à une personne publique dont la gestion est soumise à la surveillance directe de l’autorité compétente ou à une personne privée sur les activités de laquelle l'autorité compétente est en mesure d’exercer un contrôle étroit ;</w:t>
            </w:r>
          </w:p>
        </w:tc>
      </w:tr>
      <w:tr w:rsidR="00BB2072" w14:paraId="57EBD160" w14:textId="77777777" w:rsidTr="0010313C">
        <w:trPr>
          <w:gridAfter w:val="1"/>
          <w:wAfter w:w="35" w:type="dxa"/>
        </w:trPr>
        <w:tc>
          <w:tcPr>
            <w:tcW w:w="764" w:type="dxa"/>
            <w:tcBorders>
              <w:left w:val="single" w:sz="2" w:space="0" w:color="000000"/>
              <w:bottom w:val="single" w:sz="2" w:space="0" w:color="000000"/>
            </w:tcBorders>
            <w:tcMar>
              <w:top w:w="55" w:type="dxa"/>
              <w:left w:w="55" w:type="dxa"/>
              <w:bottom w:w="55" w:type="dxa"/>
              <w:right w:w="55" w:type="dxa"/>
            </w:tcMar>
          </w:tcPr>
          <w:p w14:paraId="57EBD15B" w14:textId="26881E02" w:rsidR="00BB2072" w:rsidRDefault="00220F0F">
            <w:pPr>
              <w:pStyle w:val="Standard"/>
              <w:autoSpaceDE w:val="0"/>
              <w:jc w:val="center"/>
              <w:rPr>
                <w:rFonts w:ascii="Marianne" w:eastAsia="LiberationSerif,Bold" w:hAnsi="Marianne" w:cs="LiberationSerif,Bold"/>
                <w:b/>
                <w:bCs/>
                <w:color w:val="000000"/>
                <w:sz w:val="20"/>
                <w:szCs w:val="20"/>
              </w:rPr>
            </w:pPr>
            <w:r>
              <w:rPr>
                <w:rFonts w:ascii="Marianne" w:eastAsia="Liberation Serif" w:hAnsi="Marianne" w:cs="Liberation Serif"/>
                <w:b/>
                <w:bCs/>
                <w:color w:val="000000"/>
                <w:sz w:val="20"/>
                <w:szCs w:val="20"/>
              </w:rPr>
              <w:t>□</w:t>
            </w:r>
          </w:p>
        </w:tc>
        <w:tc>
          <w:tcPr>
            <w:tcW w:w="1073" w:type="dxa"/>
            <w:tcBorders>
              <w:left w:val="single" w:sz="2" w:space="0" w:color="000000"/>
              <w:bottom w:val="single" w:sz="2" w:space="0" w:color="000000"/>
            </w:tcBorders>
            <w:tcMar>
              <w:top w:w="55" w:type="dxa"/>
              <w:left w:w="55" w:type="dxa"/>
              <w:bottom w:w="55" w:type="dxa"/>
              <w:right w:w="55" w:type="dxa"/>
            </w:tcMar>
          </w:tcPr>
          <w:p w14:paraId="57EBD15C"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L2122-1-3</w:t>
            </w:r>
          </w:p>
          <w:p w14:paraId="57EBD15D"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3°)</w:t>
            </w:r>
          </w:p>
        </w:tc>
        <w:tc>
          <w:tcPr>
            <w:tcW w:w="853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EBD15F" w14:textId="60BC7B99" w:rsidR="00BB2072" w:rsidRDefault="00220F0F" w:rsidP="000F6744">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Une première procédure de sélection s’est révélée infructueuse ou une publicité suffisante pour permettre la manifestation d’un intérêt pertinent est demeurée sans réponse ;</w:t>
            </w:r>
          </w:p>
        </w:tc>
      </w:tr>
      <w:tr w:rsidR="00BB2072" w14:paraId="57EBD166" w14:textId="77777777" w:rsidTr="0010313C">
        <w:trPr>
          <w:gridAfter w:val="1"/>
          <w:wAfter w:w="35" w:type="dxa"/>
        </w:trPr>
        <w:tc>
          <w:tcPr>
            <w:tcW w:w="764" w:type="dxa"/>
            <w:tcBorders>
              <w:left w:val="single" w:sz="2" w:space="0" w:color="000000"/>
              <w:bottom w:val="single" w:sz="2" w:space="0" w:color="000000"/>
            </w:tcBorders>
            <w:tcMar>
              <w:top w:w="55" w:type="dxa"/>
              <w:left w:w="55" w:type="dxa"/>
              <w:bottom w:w="55" w:type="dxa"/>
              <w:right w:w="55" w:type="dxa"/>
            </w:tcMar>
          </w:tcPr>
          <w:p w14:paraId="57EBD161" w14:textId="0E18256A" w:rsidR="00BB2072" w:rsidRDefault="0010313C" w:rsidP="0010313C">
            <w:pPr>
              <w:pStyle w:val="Standard"/>
              <w:autoSpaceDE w:val="0"/>
              <w:jc w:val="center"/>
              <w:rPr>
                <w:rFonts w:ascii="Marianne" w:eastAsia="LiberationSerif,Bold" w:hAnsi="Marianne" w:cs="LiberationSerif,Bold"/>
                <w:b/>
                <w:bCs/>
                <w:color w:val="000000"/>
                <w:sz w:val="20"/>
                <w:szCs w:val="20"/>
              </w:rPr>
            </w:pPr>
            <w:r>
              <w:rPr>
                <w:rFonts w:ascii="Marianne" w:eastAsia="Liberation Serif" w:hAnsi="Marianne" w:cs="Liberation Serif"/>
                <w:b/>
                <w:bCs/>
                <w:color w:val="000000"/>
                <w:sz w:val="20"/>
                <w:szCs w:val="20"/>
              </w:rPr>
              <w:t>□</w:t>
            </w:r>
          </w:p>
        </w:tc>
        <w:tc>
          <w:tcPr>
            <w:tcW w:w="1073" w:type="dxa"/>
            <w:tcBorders>
              <w:left w:val="single" w:sz="2" w:space="0" w:color="000000"/>
              <w:bottom w:val="single" w:sz="2" w:space="0" w:color="000000"/>
            </w:tcBorders>
            <w:tcMar>
              <w:top w:w="55" w:type="dxa"/>
              <w:left w:w="55" w:type="dxa"/>
              <w:bottom w:w="55" w:type="dxa"/>
              <w:right w:w="55" w:type="dxa"/>
            </w:tcMar>
          </w:tcPr>
          <w:p w14:paraId="57EBD162"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L2122-1-3</w:t>
            </w:r>
          </w:p>
          <w:p w14:paraId="57EBD163"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4°)</w:t>
            </w:r>
          </w:p>
        </w:tc>
        <w:tc>
          <w:tcPr>
            <w:tcW w:w="853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EBD165" w14:textId="11F5F19C" w:rsidR="00BB2072" w:rsidRDefault="00220F0F" w:rsidP="000F6744">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Les caractéristiques particulières de la dépendance, notamment géographiques, physiques, techniques ou fonctionnelles, ses conditions particulières d’occupation ou d’utilisation, ou les spécificités de son affectation le justifient au regard de l’exercice de l’activité économique projetée ;</w:t>
            </w:r>
          </w:p>
        </w:tc>
      </w:tr>
      <w:tr w:rsidR="00BB2072" w14:paraId="57EBD16B" w14:textId="77777777" w:rsidTr="0010313C">
        <w:trPr>
          <w:gridAfter w:val="1"/>
          <w:wAfter w:w="35" w:type="dxa"/>
        </w:trPr>
        <w:tc>
          <w:tcPr>
            <w:tcW w:w="764" w:type="dxa"/>
            <w:tcBorders>
              <w:left w:val="single" w:sz="2" w:space="0" w:color="000000"/>
              <w:bottom w:val="single" w:sz="2" w:space="0" w:color="000000"/>
            </w:tcBorders>
            <w:tcMar>
              <w:top w:w="55" w:type="dxa"/>
              <w:left w:w="55" w:type="dxa"/>
              <w:bottom w:w="55" w:type="dxa"/>
              <w:right w:w="55" w:type="dxa"/>
            </w:tcMar>
          </w:tcPr>
          <w:p w14:paraId="57EBD167" w14:textId="4EF406CC" w:rsidR="00BB2072" w:rsidRDefault="00220F0F">
            <w:pPr>
              <w:pStyle w:val="Standard"/>
              <w:autoSpaceDE w:val="0"/>
              <w:jc w:val="center"/>
              <w:rPr>
                <w:rFonts w:ascii="Marianne" w:eastAsia="LiberationSerif,Bold" w:hAnsi="Marianne" w:cs="LiberationSerif,Bold"/>
                <w:b/>
                <w:bCs/>
                <w:color w:val="000000"/>
                <w:sz w:val="20"/>
                <w:szCs w:val="20"/>
              </w:rPr>
            </w:pPr>
            <w:r>
              <w:rPr>
                <w:rFonts w:ascii="Marianne" w:eastAsia="Liberation Serif" w:hAnsi="Marianne" w:cs="Liberation Serif"/>
                <w:b/>
                <w:bCs/>
                <w:color w:val="000000"/>
                <w:sz w:val="20"/>
                <w:szCs w:val="20"/>
              </w:rPr>
              <w:t>□</w:t>
            </w:r>
          </w:p>
        </w:tc>
        <w:tc>
          <w:tcPr>
            <w:tcW w:w="1073" w:type="dxa"/>
            <w:tcBorders>
              <w:left w:val="single" w:sz="2" w:space="0" w:color="000000"/>
              <w:bottom w:val="single" w:sz="2" w:space="0" w:color="000000"/>
            </w:tcBorders>
            <w:tcMar>
              <w:top w:w="55" w:type="dxa"/>
              <w:left w:w="55" w:type="dxa"/>
              <w:bottom w:w="55" w:type="dxa"/>
              <w:right w:w="55" w:type="dxa"/>
            </w:tcMar>
          </w:tcPr>
          <w:p w14:paraId="57EBD168"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L2122-1-3</w:t>
            </w:r>
          </w:p>
          <w:p w14:paraId="57EBD169"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5°)</w:t>
            </w:r>
          </w:p>
        </w:tc>
        <w:tc>
          <w:tcPr>
            <w:tcW w:w="853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EBD16A" w14:textId="77777777" w:rsidR="00BB2072" w:rsidRDefault="00220F0F">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Des impératifs tenant à l'exercice de l’autorité publique ou à des considérations de sécurité publique le justifient.</w:t>
            </w:r>
            <w:r>
              <w:rPr>
                <w:rFonts w:ascii="Marianne" w:eastAsia="LiberationSerif" w:hAnsi="Marianne" w:cs="LiberationSerif"/>
                <w:color w:val="000000"/>
                <w:sz w:val="20"/>
                <w:szCs w:val="20"/>
              </w:rPr>
              <w:fldChar w:fldCharType="begin"/>
            </w:r>
            <w:r>
              <w:rPr>
                <w:rFonts w:ascii="Marianne" w:eastAsia="LiberationSerif" w:hAnsi="Marianne" w:cs="LiberationSerif"/>
                <w:color w:val="000000"/>
                <w:sz w:val="20"/>
                <w:szCs w:val="20"/>
              </w:rPr>
              <w:instrText xml:space="preserve"> SUBJECT </w:instrText>
            </w:r>
            <w:r>
              <w:rPr>
                <w:rFonts w:ascii="Marianne" w:eastAsia="LiberationSerif" w:hAnsi="Marianne" w:cs="LiberationSerif"/>
                <w:color w:val="000000"/>
                <w:sz w:val="20"/>
                <w:szCs w:val="20"/>
              </w:rPr>
              <w:fldChar w:fldCharType="end"/>
            </w:r>
          </w:p>
        </w:tc>
      </w:tr>
    </w:tbl>
    <w:p w14:paraId="57EBD16C" w14:textId="162AFDBE" w:rsidR="00BB2072" w:rsidRPr="0098455D" w:rsidRDefault="00BB2072">
      <w:pPr>
        <w:pStyle w:val="Standard"/>
        <w:autoSpaceDE w:val="0"/>
        <w:jc w:val="both"/>
        <w:rPr>
          <w:rFonts w:ascii="Marianne" w:eastAsia="Liberation Serif" w:hAnsi="Marianne" w:cs="Liberation Serif"/>
          <w:b/>
          <w:bCs/>
          <w:sz w:val="20"/>
          <w:szCs w:val="20"/>
        </w:rPr>
      </w:pPr>
    </w:p>
    <w:p w14:paraId="0A55216B" w14:textId="3FE3BCC5" w:rsidR="00AB6032" w:rsidRDefault="00AB6032" w:rsidP="00AB6032">
      <w:pPr>
        <w:pStyle w:val="Standard"/>
        <w:rPr>
          <w:rFonts w:ascii="Marianne" w:eastAsia="Liberation Serif" w:hAnsi="Marianne" w:cs="Liberation Serif"/>
          <w:b/>
          <w:bCs/>
          <w:color w:val="000000"/>
          <w:sz w:val="20"/>
          <w:szCs w:val="20"/>
        </w:rPr>
      </w:pPr>
      <w:r>
        <w:rPr>
          <w:rFonts w:ascii="Marianne" w:eastAsia="Liberation Serif" w:hAnsi="Marianne" w:cs="Liberation Serif"/>
          <w:b/>
          <w:bCs/>
          <w:color w:val="000000"/>
          <w:sz w:val="20"/>
          <w:szCs w:val="20"/>
        </w:rPr>
        <w:t xml:space="preserve">Considérations de faits : </w:t>
      </w:r>
    </w:p>
    <w:p w14:paraId="1852CBF3" w14:textId="77777777" w:rsidR="00170C2C" w:rsidRDefault="00170C2C" w:rsidP="00AB6032">
      <w:pPr>
        <w:pStyle w:val="Standard"/>
        <w:rPr>
          <w:rFonts w:ascii="Marianne" w:eastAsia="Liberation Serif" w:hAnsi="Marianne" w:cs="Liberation Serif"/>
          <w:b/>
          <w:bCs/>
          <w:color w:val="000000"/>
          <w:sz w:val="20"/>
          <w:szCs w:val="20"/>
        </w:rPr>
      </w:pPr>
    </w:p>
    <w:sectPr w:rsidR="00170C2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9DD2" w14:textId="77777777" w:rsidR="001F5B57" w:rsidRDefault="001F5B57">
      <w:pPr>
        <w:rPr>
          <w:rFonts w:hint="eastAsia"/>
        </w:rPr>
      </w:pPr>
      <w:r>
        <w:separator/>
      </w:r>
    </w:p>
  </w:endnote>
  <w:endnote w:type="continuationSeparator" w:id="0">
    <w:p w14:paraId="3B1210CB" w14:textId="77777777" w:rsidR="001F5B57" w:rsidRDefault="001F5B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rianne">
    <w:altName w:val="Calibri"/>
    <w:charset w:val="00"/>
    <w:family w:val="moder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2"/>
    <w:family w:val="auto"/>
    <w:pitch w:val="default"/>
  </w:font>
  <w:font w:name="Liberation Serif">
    <w:altName w:val="Times New Roman"/>
    <w:charset w:val="00"/>
    <w:family w:val="roman"/>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Serif">
    <w:altName w:val="Times New Roman"/>
    <w:charset w:val="00"/>
    <w:family w:val="roman"/>
    <w:pitch w:val="default"/>
  </w:font>
  <w:font w:name="LiberationSerif,Bold">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A452" w14:textId="77777777" w:rsidR="001F5B57" w:rsidRDefault="001F5B57">
      <w:pPr>
        <w:rPr>
          <w:rFonts w:hint="eastAsia"/>
        </w:rPr>
      </w:pPr>
      <w:r>
        <w:rPr>
          <w:color w:val="000000"/>
        </w:rPr>
        <w:separator/>
      </w:r>
    </w:p>
  </w:footnote>
  <w:footnote w:type="continuationSeparator" w:id="0">
    <w:p w14:paraId="4066005B" w14:textId="77777777" w:rsidR="001F5B57" w:rsidRDefault="001F5B5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8F0"/>
    <w:multiLevelType w:val="hybridMultilevel"/>
    <w:tmpl w:val="DFC4EC30"/>
    <w:lvl w:ilvl="0" w:tplc="040C0003">
      <w:start w:val="1"/>
      <w:numFmt w:val="bullet"/>
      <w:lvlText w:val="o"/>
      <w:lvlJc w:val="left"/>
      <w:pPr>
        <w:ind w:left="2138" w:hanging="360"/>
      </w:pPr>
      <w:rPr>
        <w:rFonts w:ascii="Courier New" w:hAnsi="Courier New" w:cs="Courier New" w:hint="default"/>
      </w:rPr>
    </w:lvl>
    <w:lvl w:ilvl="1" w:tplc="040C0001">
      <w:start w:val="1"/>
      <w:numFmt w:val="bullet"/>
      <w:lvlText w:val=""/>
      <w:lvlJc w:val="left"/>
      <w:pPr>
        <w:ind w:left="2858" w:hanging="360"/>
      </w:pPr>
      <w:rPr>
        <w:rFonts w:ascii="Symbol" w:hAnsi="Symbol"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 w15:restartNumberingAfterBreak="0">
    <w:nsid w:val="287E35F1"/>
    <w:multiLevelType w:val="hybridMultilevel"/>
    <w:tmpl w:val="2654B1DC"/>
    <w:lvl w:ilvl="0" w:tplc="01067B5E">
      <w:numFmt w:val="bullet"/>
      <w:lvlText w:val="-"/>
      <w:lvlJc w:val="left"/>
      <w:pPr>
        <w:ind w:left="1920" w:hanging="360"/>
      </w:pPr>
      <w:rPr>
        <w:rFonts w:ascii="Marianne" w:eastAsia="SimSun" w:hAnsi="Marianne" w:cs="Aria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 w15:restartNumberingAfterBreak="0">
    <w:nsid w:val="2CFA1FB7"/>
    <w:multiLevelType w:val="hybridMultilevel"/>
    <w:tmpl w:val="F85697B8"/>
    <w:lvl w:ilvl="0" w:tplc="5FE8B7F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273FCE"/>
    <w:multiLevelType w:val="hybridMultilevel"/>
    <w:tmpl w:val="A9CA2C5A"/>
    <w:lvl w:ilvl="0" w:tplc="D0D2BA88">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 w15:restartNumberingAfterBreak="0">
    <w:nsid w:val="58F0331B"/>
    <w:multiLevelType w:val="hybridMultilevel"/>
    <w:tmpl w:val="B6D6C1E8"/>
    <w:lvl w:ilvl="0" w:tplc="5D3E968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AC5522"/>
    <w:multiLevelType w:val="multilevel"/>
    <w:tmpl w:val="B078A1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start w:val="1"/>
      <w:numFmt w:val="bullet"/>
      <w:lvlText w:val="o"/>
      <w:lvlJc w:val="left"/>
      <w:pPr>
        <w:ind w:left="1440" w:hanging="360"/>
      </w:pPr>
      <w:rPr>
        <w:rFonts w:ascii="Courier New" w:hAnsi="Courier New" w:cs="Courier New" w:hint="default"/>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5373B8A"/>
    <w:multiLevelType w:val="hybridMultilevel"/>
    <w:tmpl w:val="9D52F7AA"/>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7" w15:restartNumberingAfterBreak="0">
    <w:nsid w:val="74AB1824"/>
    <w:multiLevelType w:val="hybridMultilevel"/>
    <w:tmpl w:val="C98A3D52"/>
    <w:lvl w:ilvl="0" w:tplc="D0D2BA88">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947349433">
    <w:abstractNumId w:val="5"/>
  </w:num>
  <w:num w:numId="2" w16cid:durableId="1164666980">
    <w:abstractNumId w:val="0"/>
  </w:num>
  <w:num w:numId="3" w16cid:durableId="1944992618">
    <w:abstractNumId w:val="4"/>
  </w:num>
  <w:num w:numId="4" w16cid:durableId="1911958980">
    <w:abstractNumId w:val="7"/>
  </w:num>
  <w:num w:numId="5" w16cid:durableId="513568264">
    <w:abstractNumId w:val="1"/>
  </w:num>
  <w:num w:numId="6" w16cid:durableId="1294825851">
    <w:abstractNumId w:val="6"/>
  </w:num>
  <w:num w:numId="7" w16cid:durableId="1608805687">
    <w:abstractNumId w:val="3"/>
  </w:num>
  <w:num w:numId="8" w16cid:durableId="919867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2072"/>
    <w:rsid w:val="00054C0D"/>
    <w:rsid w:val="000623AE"/>
    <w:rsid w:val="000968D8"/>
    <w:rsid w:val="000F6744"/>
    <w:rsid w:val="0010313C"/>
    <w:rsid w:val="00112F51"/>
    <w:rsid w:val="00146F95"/>
    <w:rsid w:val="00170C2C"/>
    <w:rsid w:val="00177DDD"/>
    <w:rsid w:val="001B51A6"/>
    <w:rsid w:val="001F5B57"/>
    <w:rsid w:val="00220F0F"/>
    <w:rsid w:val="00281B22"/>
    <w:rsid w:val="00290AA2"/>
    <w:rsid w:val="00313CA6"/>
    <w:rsid w:val="00342722"/>
    <w:rsid w:val="003F05FA"/>
    <w:rsid w:val="00410800"/>
    <w:rsid w:val="00434DF2"/>
    <w:rsid w:val="004E1485"/>
    <w:rsid w:val="00503FDE"/>
    <w:rsid w:val="005300C9"/>
    <w:rsid w:val="00533368"/>
    <w:rsid w:val="005910EB"/>
    <w:rsid w:val="005F0FDC"/>
    <w:rsid w:val="00617963"/>
    <w:rsid w:val="00645B50"/>
    <w:rsid w:val="006924A9"/>
    <w:rsid w:val="00695F92"/>
    <w:rsid w:val="006B4C18"/>
    <w:rsid w:val="006E4A40"/>
    <w:rsid w:val="006E5194"/>
    <w:rsid w:val="0073395A"/>
    <w:rsid w:val="00757FE8"/>
    <w:rsid w:val="00783D14"/>
    <w:rsid w:val="00866426"/>
    <w:rsid w:val="008710AA"/>
    <w:rsid w:val="008874E0"/>
    <w:rsid w:val="008B62C4"/>
    <w:rsid w:val="00934447"/>
    <w:rsid w:val="00947CF2"/>
    <w:rsid w:val="0098455D"/>
    <w:rsid w:val="009978DD"/>
    <w:rsid w:val="00A07B3C"/>
    <w:rsid w:val="00AB0A05"/>
    <w:rsid w:val="00AB2A56"/>
    <w:rsid w:val="00AB6032"/>
    <w:rsid w:val="00B24732"/>
    <w:rsid w:val="00B47E61"/>
    <w:rsid w:val="00B71EA3"/>
    <w:rsid w:val="00B7295F"/>
    <w:rsid w:val="00B910D3"/>
    <w:rsid w:val="00BB2072"/>
    <w:rsid w:val="00BC2AB4"/>
    <w:rsid w:val="00BC732B"/>
    <w:rsid w:val="00C14BE7"/>
    <w:rsid w:val="00C37CC2"/>
    <w:rsid w:val="00C40784"/>
    <w:rsid w:val="00C8580F"/>
    <w:rsid w:val="00CB7B39"/>
    <w:rsid w:val="00D225EF"/>
    <w:rsid w:val="00DE0AC5"/>
    <w:rsid w:val="00DE4B2F"/>
    <w:rsid w:val="00E052C4"/>
    <w:rsid w:val="00E15B99"/>
    <w:rsid w:val="00E211A7"/>
    <w:rsid w:val="00E2690C"/>
    <w:rsid w:val="00E87647"/>
    <w:rsid w:val="00EB053E"/>
    <w:rsid w:val="00EC2554"/>
    <w:rsid w:val="00F26DE4"/>
    <w:rsid w:val="00F634B8"/>
    <w:rsid w:val="00F83C1A"/>
    <w:rsid w:val="00F9340E"/>
    <w:rsid w:val="00FA686C"/>
    <w:rsid w:val="00FC7B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D0F9"/>
  <w15:docId w15:val="{A3B65B56-EE0F-4D30-B4FE-DDCE0E6C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En-tte">
    <w:name w:val="header"/>
    <w:basedOn w:val="Standard"/>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paragraph" w:styleId="Commentaire">
    <w:name w:val="annotation text"/>
    <w:basedOn w:val="Normal"/>
    <w:link w:val="CommentaireCar"/>
    <w:uiPriority w:val="99"/>
    <w:semiHidden/>
    <w:unhideWhenUsed/>
    <w:rPr>
      <w:rFonts w:cs="Mangal"/>
      <w:sz w:val="20"/>
      <w:szCs w:val="18"/>
    </w:rPr>
  </w:style>
  <w:style w:type="character" w:customStyle="1" w:styleId="CommentaireCar">
    <w:name w:val="Commentaire Car"/>
    <w:basedOn w:val="Policepardfaut"/>
    <w:link w:val="Commentaire"/>
    <w:uiPriority w:val="99"/>
    <w:semiHidden/>
    <w:rPr>
      <w:rFonts w:cs="Mangal"/>
      <w:sz w:val="20"/>
      <w:szCs w:val="18"/>
    </w:rPr>
  </w:style>
  <w:style w:type="character" w:styleId="Marquedecommentaire">
    <w:name w:val="annotation reference"/>
    <w:basedOn w:val="Policepardfaut"/>
    <w:uiPriority w:val="99"/>
    <w:semiHidden/>
    <w:unhideWhenUsed/>
    <w:rPr>
      <w:sz w:val="16"/>
      <w:szCs w:val="16"/>
    </w:rPr>
  </w:style>
  <w:style w:type="paragraph" w:styleId="Pieddepage">
    <w:name w:val="footer"/>
    <w:basedOn w:val="Normal"/>
    <w:link w:val="PieddepageCar"/>
    <w:uiPriority w:val="99"/>
    <w:unhideWhenUsed/>
    <w:rsid w:val="00FA686C"/>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FA686C"/>
    <w:rPr>
      <w:rFonts w:cs="Mangal"/>
      <w:szCs w:val="21"/>
    </w:rPr>
  </w:style>
  <w:style w:type="paragraph" w:customStyle="1" w:styleId="Commentaireetexplication">
    <w:name w:val="Commentaire et explication"/>
    <w:basedOn w:val="Normal"/>
    <w:link w:val="CommentaireetexplicationCar"/>
    <w:qFormat/>
    <w:rsid w:val="00DE4B2F"/>
    <w:pPr>
      <w:suppressAutoHyphens w:val="0"/>
      <w:autoSpaceDN/>
      <w:spacing w:after="120"/>
      <w:jc w:val="both"/>
      <w:textAlignment w:val="auto"/>
    </w:pPr>
    <w:rPr>
      <w:rFonts w:ascii="Arial" w:eastAsia="Times New Roman" w:hAnsi="Arial"/>
      <w:i/>
      <w:iCs/>
      <w:color w:val="000000"/>
      <w:kern w:val="0"/>
      <w:sz w:val="22"/>
      <w:lang w:eastAsia="fr-FR" w:bidi="ar-SA"/>
    </w:rPr>
  </w:style>
  <w:style w:type="character" w:customStyle="1" w:styleId="CommentaireetexplicationCar">
    <w:name w:val="Commentaire et explication Car"/>
    <w:basedOn w:val="Policepardfaut"/>
    <w:link w:val="Commentaireetexplication"/>
    <w:rsid w:val="00DE4B2F"/>
    <w:rPr>
      <w:rFonts w:ascii="Arial" w:eastAsia="Times New Roman" w:hAnsi="Arial"/>
      <w:i/>
      <w:iCs/>
      <w:color w:val="000000"/>
      <w:kern w:val="0"/>
      <w:sz w:val="22"/>
      <w:lang w:eastAsia="fr-FR" w:bidi="ar-SA"/>
    </w:rPr>
  </w:style>
  <w:style w:type="paragraph" w:styleId="Paragraphedeliste">
    <w:name w:val="List Paragraph"/>
    <w:basedOn w:val="Normal"/>
    <w:uiPriority w:val="34"/>
    <w:qFormat/>
    <w:rsid w:val="00AB603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480</TotalTime>
  <Pages>3</Pages>
  <Words>835</Words>
  <Characters>4595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MONTEIL Sandrine</dc:creator>
  <cp:keywords/>
  <dc:description/>
  <cp:lastModifiedBy>MONTEIL Sandrine</cp:lastModifiedBy>
  <cp:revision>13</cp:revision>
  <cp:lastPrinted>2023-11-03T14:16:00Z</cp:lastPrinted>
  <dcterms:created xsi:type="dcterms:W3CDTF">2026-02-09T15:38:00Z</dcterms:created>
  <dcterms:modified xsi:type="dcterms:W3CDTF">2026-04-30T12:01:00Z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2022-06-09T15:38:13Z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7bcbc0be-a159-4665-871e-af325962876a</vt:lpwstr>
  </property>
  <property fmtid="{D5CDD505-2E9C-101B-9397-08002B2CF9AE}" pid="8" name="MSIP_Label_2d26f538-337a-4593-a7e6-123667b1a538_ContentBits">
    <vt:lpwstr>0</vt:lpwstr>
  </property>
</Properties>
</file>